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73DB" w:rsidRDefault="002C73DB" w:rsidP="002C73DB">
      <w:pPr>
        <w:spacing w:line="360" w:lineRule="auto"/>
        <w:ind w:left="4320"/>
        <w:jc w:val="center"/>
        <w:rPr>
          <w:rFonts w:ascii="Arial" w:hAnsi="Arial" w:cs="Arial"/>
          <w:b/>
          <w:sz w:val="24"/>
          <w:szCs w:val="24"/>
          <w:lang w:val="mn-MN"/>
        </w:rPr>
      </w:pPr>
      <w:r>
        <w:rPr>
          <w:rFonts w:ascii="Arial" w:hAnsi="Arial" w:cs="Arial"/>
          <w:b/>
          <w:noProof/>
          <w:sz w:val="24"/>
          <w:szCs w:val="24"/>
        </w:rPr>
        <w:drawing>
          <wp:anchor distT="0" distB="0" distL="114300" distR="114300" simplePos="0" relativeHeight="251660288" behindDoc="0" locked="0" layoutInCell="1" allowOverlap="1">
            <wp:simplePos x="0" y="0"/>
            <wp:positionH relativeFrom="column">
              <wp:posOffset>-40327</wp:posOffset>
            </wp:positionH>
            <wp:positionV relativeFrom="paragraph">
              <wp:posOffset>-285008</wp:posOffset>
            </wp:positionV>
            <wp:extent cx="1429739" cy="1923803"/>
            <wp:effectExtent l="19050" t="0" r="0" b="0"/>
            <wp:wrapNone/>
            <wp:docPr id="2" name="Picture 1" descr="I:\tenhem\2009,2010,2011,2012 oni temtseeni zurag,bichleg\BTT\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tenhem\2009,2010,2011,2012 oni temtseeni zurag,bichleg\BTT\01.jpg"/>
                    <pic:cNvPicPr>
                      <a:picLocks noChangeAspect="1" noChangeArrowheads="1"/>
                    </pic:cNvPicPr>
                  </pic:nvPicPr>
                  <pic:blipFill>
                    <a:blip r:embed="rId5"/>
                    <a:srcRect/>
                    <a:stretch>
                      <a:fillRect/>
                    </a:stretch>
                  </pic:blipFill>
                  <pic:spPr bwMode="auto">
                    <a:xfrm>
                      <a:off x="0" y="0"/>
                      <a:ext cx="1429739" cy="1923803"/>
                    </a:xfrm>
                    <a:prstGeom prst="rect">
                      <a:avLst/>
                    </a:prstGeom>
                    <a:noFill/>
                    <a:ln w="9525">
                      <a:noFill/>
                      <a:miter lim="800000"/>
                      <a:headEnd/>
                      <a:tailEnd/>
                    </a:ln>
                  </pic:spPr>
                </pic:pic>
              </a:graphicData>
            </a:graphic>
          </wp:anchor>
        </w:drawing>
      </w:r>
      <w:r w:rsidRPr="00567DFA">
        <w:rPr>
          <w:rFonts w:ascii="Arial" w:hAnsi="Arial" w:cs="Arial"/>
          <w:b/>
          <w:sz w:val="24"/>
          <w:szCs w:val="24"/>
          <w:lang w:val="mn-MN"/>
        </w:rPr>
        <w:t>М</w:t>
      </w:r>
      <w:r>
        <w:rPr>
          <w:rFonts w:ascii="Arial" w:hAnsi="Arial" w:cs="Arial"/>
          <w:b/>
          <w:sz w:val="24"/>
          <w:szCs w:val="24"/>
          <w:lang w:val="mn-MN"/>
        </w:rPr>
        <w:t>УБИС-ийн БТС-ийн Биеийн тамирын</w:t>
      </w:r>
    </w:p>
    <w:p w:rsidR="002C73DB" w:rsidRPr="00567DFA" w:rsidRDefault="002C73DB" w:rsidP="002C73DB">
      <w:pPr>
        <w:spacing w:line="360" w:lineRule="auto"/>
        <w:ind w:left="4320"/>
        <w:rPr>
          <w:rFonts w:ascii="Arial" w:hAnsi="Arial" w:cs="Arial"/>
          <w:b/>
          <w:sz w:val="24"/>
          <w:szCs w:val="24"/>
          <w:lang w:val="mn-MN"/>
        </w:rPr>
      </w:pPr>
      <w:r>
        <w:rPr>
          <w:rFonts w:ascii="Arial" w:hAnsi="Arial" w:cs="Arial"/>
          <w:b/>
          <w:sz w:val="24"/>
          <w:szCs w:val="24"/>
          <w:lang w:val="mn-MN"/>
        </w:rPr>
        <w:t xml:space="preserve">    </w:t>
      </w:r>
      <w:r w:rsidRPr="00567DFA">
        <w:rPr>
          <w:rFonts w:ascii="Arial" w:hAnsi="Arial" w:cs="Arial"/>
          <w:b/>
          <w:sz w:val="24"/>
          <w:szCs w:val="24"/>
          <w:lang w:val="mn-MN"/>
        </w:rPr>
        <w:t>тэнхмийн багш</w:t>
      </w:r>
      <w:r>
        <w:rPr>
          <w:rFonts w:ascii="Arial" w:hAnsi="Arial" w:cs="Arial"/>
          <w:b/>
          <w:sz w:val="24"/>
          <w:szCs w:val="24"/>
          <w:lang w:val="mn-MN"/>
        </w:rPr>
        <w:t>,</w:t>
      </w:r>
      <w:r w:rsidRPr="00567DFA">
        <w:rPr>
          <w:rFonts w:ascii="Arial" w:hAnsi="Arial" w:cs="Arial"/>
          <w:b/>
          <w:sz w:val="24"/>
          <w:szCs w:val="24"/>
          <w:lang w:val="mn-MN"/>
        </w:rPr>
        <w:t xml:space="preserve"> </w:t>
      </w:r>
      <w:r>
        <w:rPr>
          <w:rFonts w:ascii="Arial" w:hAnsi="Arial" w:cs="Arial"/>
          <w:b/>
          <w:sz w:val="24"/>
          <w:szCs w:val="24"/>
          <w:lang w:val="mn-MN"/>
        </w:rPr>
        <w:t>магистр М</w:t>
      </w:r>
      <w:r w:rsidRPr="00567DFA">
        <w:rPr>
          <w:rFonts w:ascii="Arial" w:hAnsi="Arial" w:cs="Arial"/>
          <w:b/>
          <w:sz w:val="24"/>
          <w:szCs w:val="24"/>
          <w:lang w:val="mn-MN"/>
        </w:rPr>
        <w:t>.</w:t>
      </w:r>
      <w:r>
        <w:rPr>
          <w:rFonts w:ascii="Arial" w:hAnsi="Arial" w:cs="Arial"/>
          <w:b/>
          <w:sz w:val="24"/>
          <w:szCs w:val="24"/>
          <w:lang w:val="mn-MN"/>
        </w:rPr>
        <w:t>Баттөгс</w:t>
      </w:r>
      <w:r w:rsidRPr="00567DFA">
        <w:rPr>
          <w:rFonts w:ascii="Arial" w:hAnsi="Arial" w:cs="Arial"/>
          <w:b/>
          <w:sz w:val="24"/>
          <w:szCs w:val="24"/>
          <w:lang w:val="mn-MN"/>
        </w:rPr>
        <w:t xml:space="preserve"> </w:t>
      </w:r>
    </w:p>
    <w:p w:rsidR="002C73DB" w:rsidRDefault="002C73DB" w:rsidP="002C73DB">
      <w:pPr>
        <w:ind w:left="1440" w:firstLine="720"/>
        <w:jc w:val="center"/>
        <w:rPr>
          <w:rFonts w:ascii="Arial" w:hAnsi="Arial" w:cs="Arial"/>
          <w:b/>
          <w:sz w:val="28"/>
          <w:szCs w:val="28"/>
          <w:lang w:val="mn-MN"/>
        </w:rPr>
      </w:pPr>
    </w:p>
    <w:p w:rsidR="002C73DB" w:rsidRPr="00EC1CBA" w:rsidRDefault="00A03D6E" w:rsidP="002C73DB">
      <w:pPr>
        <w:spacing w:line="360" w:lineRule="auto"/>
        <w:ind w:left="1440" w:firstLine="720"/>
        <w:jc w:val="center"/>
        <w:rPr>
          <w:rFonts w:ascii="Arial" w:hAnsi="Arial" w:cs="Arial"/>
          <w:b/>
          <w:sz w:val="28"/>
          <w:szCs w:val="28"/>
          <w:lang w:val="mn-MN"/>
        </w:rPr>
      </w:pPr>
      <w:r>
        <w:rPr>
          <w:rFonts w:ascii="Arial" w:hAnsi="Arial" w:cs="Arial"/>
          <w:b/>
          <w:sz w:val="28"/>
          <w:szCs w:val="28"/>
          <w:lang w:val="mn-MN"/>
        </w:rPr>
        <w:t xml:space="preserve">      </w:t>
      </w:r>
      <w:r w:rsidR="002C73DB" w:rsidRPr="00EC1CBA">
        <w:rPr>
          <w:rFonts w:ascii="Arial" w:hAnsi="Arial" w:cs="Arial"/>
          <w:b/>
          <w:sz w:val="28"/>
          <w:szCs w:val="28"/>
          <w:lang w:val="mn-MN"/>
        </w:rPr>
        <w:t>МУБИ</w:t>
      </w:r>
      <w:r w:rsidR="002C73DB">
        <w:rPr>
          <w:rFonts w:ascii="Arial" w:hAnsi="Arial" w:cs="Arial"/>
          <w:b/>
          <w:sz w:val="28"/>
          <w:szCs w:val="28"/>
          <w:lang w:val="mn-MN"/>
        </w:rPr>
        <w:t xml:space="preserve">С-ийн 1-р курсийн </w:t>
      </w:r>
      <w:r w:rsidR="002C73DB" w:rsidRPr="00EC1CBA">
        <w:rPr>
          <w:rFonts w:ascii="Arial" w:hAnsi="Arial" w:cs="Arial"/>
          <w:b/>
          <w:sz w:val="28"/>
          <w:szCs w:val="28"/>
          <w:lang w:val="mn-MN"/>
        </w:rPr>
        <w:t xml:space="preserve">оюутнуудын </w:t>
      </w:r>
      <w:r w:rsidR="002C73DB">
        <w:rPr>
          <w:rFonts w:ascii="Arial" w:hAnsi="Arial" w:cs="Arial"/>
          <w:b/>
          <w:sz w:val="28"/>
          <w:szCs w:val="28"/>
          <w:lang w:val="mn-MN"/>
        </w:rPr>
        <w:t xml:space="preserve">тэсвэрийн </w:t>
      </w:r>
      <w:r w:rsidR="002C73DB" w:rsidRPr="00EC1CBA">
        <w:rPr>
          <w:rFonts w:ascii="Arial" w:hAnsi="Arial" w:cs="Arial"/>
          <w:b/>
          <w:sz w:val="28"/>
          <w:szCs w:val="28"/>
          <w:lang w:val="mn-MN"/>
        </w:rPr>
        <w:t>чанар</w:t>
      </w:r>
      <w:r w:rsidR="002C73DB">
        <w:rPr>
          <w:rFonts w:ascii="Arial" w:hAnsi="Arial" w:cs="Arial"/>
          <w:b/>
          <w:sz w:val="28"/>
          <w:szCs w:val="28"/>
          <w:lang w:val="mn-MN"/>
        </w:rPr>
        <w:t xml:space="preserve">ын түвшинг </w:t>
      </w:r>
      <w:r w:rsidR="002C73DB" w:rsidRPr="00EC1CBA">
        <w:rPr>
          <w:rFonts w:ascii="Arial" w:hAnsi="Arial" w:cs="Arial"/>
          <w:b/>
          <w:sz w:val="28"/>
          <w:szCs w:val="28"/>
          <w:lang w:val="mn-MN"/>
        </w:rPr>
        <w:t>судал</w:t>
      </w:r>
      <w:r w:rsidR="002C73DB">
        <w:rPr>
          <w:rFonts w:ascii="Arial" w:hAnsi="Arial" w:cs="Arial"/>
          <w:b/>
          <w:sz w:val="28"/>
          <w:szCs w:val="28"/>
          <w:lang w:val="mn-MN"/>
        </w:rPr>
        <w:t xml:space="preserve">сан нь </w:t>
      </w:r>
    </w:p>
    <w:p w:rsidR="003F054A" w:rsidRPr="003F054A" w:rsidRDefault="003F054A" w:rsidP="003F054A">
      <w:pPr>
        <w:spacing w:before="240" w:after="0" w:line="360" w:lineRule="auto"/>
        <w:ind w:firstLine="720"/>
        <w:jc w:val="both"/>
        <w:rPr>
          <w:rFonts w:ascii="Arial" w:hAnsi="Arial" w:cs="Arial"/>
          <w:sz w:val="24"/>
          <w:szCs w:val="24"/>
          <w:lang w:val="mn-MN"/>
        </w:rPr>
      </w:pPr>
      <w:r w:rsidRPr="003F054A">
        <w:rPr>
          <w:rFonts w:ascii="Arial" w:hAnsi="Arial" w:cs="Arial"/>
          <w:b/>
          <w:sz w:val="24"/>
          <w:szCs w:val="24"/>
        </w:rPr>
        <w:t>Abstract</w:t>
      </w:r>
      <w:r w:rsidRPr="003F054A">
        <w:rPr>
          <w:rFonts w:ascii="Arial" w:hAnsi="Arial" w:cs="Arial"/>
          <w:b/>
          <w:sz w:val="24"/>
          <w:szCs w:val="24"/>
          <w:lang w:val="mn-MN"/>
        </w:rPr>
        <w:t>:</w:t>
      </w:r>
      <w:r>
        <w:rPr>
          <w:rFonts w:ascii="Arial" w:hAnsi="Arial" w:cs="Arial"/>
          <w:b/>
          <w:sz w:val="24"/>
          <w:szCs w:val="24"/>
          <w:lang w:val="mn-MN"/>
        </w:rPr>
        <w:t xml:space="preserve"> </w:t>
      </w:r>
      <w:r w:rsidRPr="003F054A">
        <w:rPr>
          <w:rFonts w:ascii="Arial" w:hAnsi="Arial" w:cs="Arial"/>
          <w:sz w:val="24"/>
          <w:szCs w:val="24"/>
          <w:lang w:val="mn-MN"/>
        </w:rPr>
        <w:t xml:space="preserve">В человеческом организме существуют 5 физических качеств и эти качества необходимы развиваться в определенном уровне. При исследовании готовности физического уровня определяют вышеуказанными установленными тестами качеств. В исследовании мы установили уровень качества выносливости, определили результаты и приняли пути для дальнейшего улучшения студентов  1-ого курса Монгольского государственного университета образования. </w:t>
      </w:r>
    </w:p>
    <w:p w:rsidR="003F054A" w:rsidRPr="003F054A" w:rsidRDefault="003F054A" w:rsidP="002C73DB">
      <w:pPr>
        <w:spacing w:line="360" w:lineRule="auto"/>
        <w:jc w:val="both"/>
        <w:rPr>
          <w:rFonts w:ascii="Arial" w:hAnsi="Arial" w:cs="Arial"/>
          <w:b/>
          <w:sz w:val="24"/>
          <w:szCs w:val="24"/>
          <w:lang w:val="mn-MN"/>
        </w:rPr>
      </w:pPr>
    </w:p>
    <w:p w:rsidR="002C73DB" w:rsidRDefault="002C73DB" w:rsidP="003F054A">
      <w:pPr>
        <w:spacing w:line="360" w:lineRule="auto"/>
        <w:ind w:firstLine="720"/>
        <w:jc w:val="both"/>
        <w:rPr>
          <w:rFonts w:ascii="Arial" w:hAnsi="Arial" w:cs="Arial"/>
          <w:sz w:val="24"/>
          <w:szCs w:val="24"/>
          <w:lang w:val="mn-MN"/>
        </w:rPr>
      </w:pPr>
      <w:r w:rsidRPr="00EC1CBA">
        <w:rPr>
          <w:rFonts w:ascii="Arial" w:hAnsi="Arial" w:cs="Arial"/>
          <w:b/>
          <w:sz w:val="24"/>
          <w:szCs w:val="24"/>
          <w:lang w:val="mn-MN"/>
        </w:rPr>
        <w:t>Түлхүүр үг:</w:t>
      </w:r>
      <w:r>
        <w:rPr>
          <w:rFonts w:ascii="Arial" w:hAnsi="Arial" w:cs="Arial"/>
          <w:sz w:val="24"/>
          <w:szCs w:val="24"/>
          <w:lang w:val="mn-MN"/>
        </w:rPr>
        <w:t xml:space="preserve"> Бие бялдрын бэлтгэлжилт, бие бялдрын хөгжилт, тэсвэр</w:t>
      </w:r>
    </w:p>
    <w:p w:rsidR="002C73DB" w:rsidRPr="00567DFA" w:rsidRDefault="002C73DB" w:rsidP="002C73DB">
      <w:pPr>
        <w:spacing w:line="360" w:lineRule="auto"/>
        <w:jc w:val="center"/>
        <w:rPr>
          <w:rFonts w:ascii="Arial" w:hAnsi="Arial" w:cs="Arial"/>
          <w:b/>
          <w:sz w:val="28"/>
          <w:szCs w:val="28"/>
          <w:lang w:val="mn-MN"/>
        </w:rPr>
      </w:pPr>
      <w:r w:rsidRPr="00567DFA">
        <w:rPr>
          <w:rFonts w:ascii="Arial" w:hAnsi="Arial" w:cs="Arial"/>
          <w:b/>
          <w:sz w:val="28"/>
          <w:szCs w:val="28"/>
          <w:lang w:val="mn-MN"/>
        </w:rPr>
        <w:t>Удиртгал</w:t>
      </w:r>
    </w:p>
    <w:p w:rsidR="002C73DB" w:rsidRDefault="002C73DB" w:rsidP="002C73DB">
      <w:pPr>
        <w:spacing w:line="360" w:lineRule="auto"/>
        <w:ind w:firstLine="720"/>
        <w:jc w:val="both"/>
        <w:rPr>
          <w:rFonts w:ascii="Arial" w:hAnsi="Arial" w:cs="Arial"/>
          <w:sz w:val="24"/>
          <w:szCs w:val="24"/>
          <w:lang w:val="mn-MN"/>
        </w:rPr>
      </w:pPr>
      <w:r>
        <w:rPr>
          <w:rFonts w:ascii="Arial" w:hAnsi="Arial" w:cs="Arial"/>
          <w:sz w:val="24"/>
          <w:szCs w:val="24"/>
          <w:lang w:val="mn-MN"/>
        </w:rPr>
        <w:t xml:space="preserve">Орчин үед оюуны хөдөлмөр эрхэлдэг хүмүүсийн тоо маш их хэмжээгээр ихэссэнээс гадна автоматжуулалт, механикжуулалт, компьютер нь хүнийг хийх ёстой хамгийн наад захын хөдөлгөөнөөс нь салгаж байна. Энэ бол шинжлэх ухаан техникийн хөгжлийн дэвшлээр гарч ирсэн амьдралын төрөл бүрийн салбар дахь бодит зөрчил юм. </w:t>
      </w:r>
    </w:p>
    <w:p w:rsidR="001B180D" w:rsidRDefault="002C73DB" w:rsidP="001B180D">
      <w:pPr>
        <w:spacing w:line="360" w:lineRule="auto"/>
        <w:ind w:firstLine="720"/>
        <w:jc w:val="both"/>
        <w:rPr>
          <w:rFonts w:ascii="Arial" w:hAnsi="Arial" w:cs="Arial"/>
          <w:sz w:val="24"/>
          <w:szCs w:val="24"/>
          <w:lang w:val="mn-MN"/>
        </w:rPr>
      </w:pPr>
      <w:r>
        <w:rPr>
          <w:rFonts w:ascii="Arial" w:hAnsi="Arial" w:cs="Arial"/>
          <w:sz w:val="24"/>
          <w:szCs w:val="24"/>
          <w:lang w:val="mn-MN"/>
        </w:rPr>
        <w:t>Академич А.И.Берг “19-20-р зуунд дэлхий дээр үйлдвэрлэн ашиглаж байсан бүх эрчим хүчний 94%-ийг хүний болон гэрийн тэжээвэр амьтны хүчийг ашиглан гаргаж байсан бол 21-р зуунд энэ хүч зөвхөн 1%-ийг эзлэх болжээ” гэж дүгнэсэн байна.</w:t>
      </w:r>
      <w:r w:rsidR="001B180D">
        <w:rPr>
          <w:rFonts w:ascii="Arial" w:hAnsi="Arial" w:cs="Arial"/>
          <w:sz w:val="24"/>
          <w:szCs w:val="24"/>
          <w:lang w:val="mn-MN"/>
        </w:rPr>
        <w:t xml:space="preserve"> </w:t>
      </w:r>
      <w:r>
        <w:rPr>
          <w:rFonts w:ascii="Arial" w:hAnsi="Arial" w:cs="Arial"/>
          <w:sz w:val="24"/>
          <w:szCs w:val="24"/>
          <w:lang w:val="mn-MN"/>
        </w:rPr>
        <w:t>Өнөө үед дэлхийн нэг хүнд 100 орчим техникийн багаж хэрэгсэл, тоног төхөөрөмж оногдож байгаагийн дийлэнх нь хүний биеийн хөдөлмөрийг хөнгөвчилсөн буюу бүрмөсөн орлож байгааг эдийн засагчид дүгнэжээ.</w:t>
      </w:r>
    </w:p>
    <w:p w:rsidR="00E213ED" w:rsidRDefault="001B180D" w:rsidP="001B180D">
      <w:pPr>
        <w:spacing w:line="360" w:lineRule="auto"/>
        <w:ind w:firstLine="720"/>
        <w:jc w:val="both"/>
        <w:rPr>
          <w:rFonts w:ascii="Arial" w:hAnsi="Arial" w:cs="Arial"/>
          <w:sz w:val="24"/>
          <w:szCs w:val="24"/>
          <w:lang w:val="mn-MN"/>
        </w:rPr>
      </w:pPr>
      <w:r w:rsidRPr="001B180D">
        <w:rPr>
          <w:rFonts w:ascii="Arial" w:hAnsi="Arial" w:cs="Arial"/>
          <w:sz w:val="24"/>
          <w:szCs w:val="24"/>
          <w:lang w:val="mn-MN"/>
        </w:rPr>
        <w:lastRenderedPageBreak/>
        <w:t xml:space="preserve"> </w:t>
      </w:r>
      <w:r>
        <w:rPr>
          <w:rFonts w:ascii="Arial" w:hAnsi="Arial" w:cs="Arial"/>
          <w:sz w:val="24"/>
          <w:szCs w:val="24"/>
          <w:lang w:val="mn-MN"/>
        </w:rPr>
        <w:t>Тэсвэр гэдэг нь ямар нэгэн үйл ажиллагаанд ядралтыг эсэргүүцэх чадварыг тэсвэр гэж үздэг. Тэсвэрийг ерөнхий ба тусгай гэж хуваана. Ерөнхий тэсвэр нь бие махбодын хүчилтөрөгчөөр хангагдсан нөхцөлд эрчмээ хадгалан ажлыг удаан хугацаанд гүйцэтгэх чадвар юм. Өөрөөр хэлбэл дунд зэргийн эрчимтэй удаан хугацаанд үргэлжлэх ямар ч ажил нь хувь хүнээс ерөнхий тэсвэр шаарддаг. Харин тусгай тэсвэр нь тодорхой төрлийн үйл ажиллагаанд илэрнэ. Энэ нь тодорхой спортын төрлийн дасгалыг гүйцэтгэх үед тамирчны бие махбодид илрэх онцлог шаардлагыг хангахад тусгай тэсвэр чухал юм. Үүнээс үзэхэд оюутан залуусын хувьд бие бялдрын ерөнхий тэсвэр илүү чухал болох нь харагдаж байна.</w:t>
      </w:r>
    </w:p>
    <w:p w:rsidR="002C73DB" w:rsidRDefault="002C73DB" w:rsidP="002C73DB">
      <w:pPr>
        <w:spacing w:line="360" w:lineRule="auto"/>
        <w:jc w:val="both"/>
        <w:rPr>
          <w:rFonts w:ascii="Arial" w:hAnsi="Arial" w:cs="Arial"/>
          <w:sz w:val="24"/>
          <w:szCs w:val="24"/>
          <w:lang w:val="mn-MN"/>
        </w:rPr>
      </w:pPr>
      <w:r>
        <w:rPr>
          <w:rFonts w:ascii="Arial" w:hAnsi="Arial" w:cs="Arial"/>
          <w:sz w:val="24"/>
          <w:szCs w:val="24"/>
          <w:lang w:val="mn-MN"/>
        </w:rPr>
        <w:tab/>
      </w:r>
      <w:r w:rsidRPr="00992F6E">
        <w:rPr>
          <w:rFonts w:ascii="Arial" w:hAnsi="Arial" w:cs="Arial"/>
          <w:b/>
          <w:sz w:val="24"/>
          <w:szCs w:val="24"/>
          <w:u w:val="single"/>
          <w:lang w:val="mn-MN"/>
        </w:rPr>
        <w:t>Судалгааны зорилго:</w:t>
      </w:r>
      <w:r>
        <w:rPr>
          <w:rFonts w:ascii="Arial" w:hAnsi="Arial" w:cs="Arial"/>
          <w:sz w:val="24"/>
          <w:szCs w:val="24"/>
          <w:lang w:val="mn-MN"/>
        </w:rPr>
        <w:t xml:space="preserve"> МУБИС-ийн 1-р курсийн оюутнуудын тэсвэрийн чанарын түвшинг тогтоож, тэдгээрийг дээшлүүлэх арга замыг тодорхойлоход судалгааны зорилго оршино.</w:t>
      </w:r>
    </w:p>
    <w:p w:rsidR="002C73DB" w:rsidRPr="00992F6E" w:rsidRDefault="002C73DB" w:rsidP="002C73DB">
      <w:pPr>
        <w:spacing w:line="360" w:lineRule="auto"/>
        <w:jc w:val="both"/>
        <w:rPr>
          <w:rFonts w:ascii="Arial" w:hAnsi="Arial" w:cs="Arial"/>
          <w:b/>
          <w:sz w:val="24"/>
          <w:szCs w:val="24"/>
          <w:u w:val="single"/>
          <w:lang w:val="mn-MN"/>
        </w:rPr>
      </w:pPr>
      <w:r>
        <w:rPr>
          <w:rFonts w:ascii="Arial" w:hAnsi="Arial" w:cs="Arial"/>
          <w:sz w:val="24"/>
          <w:szCs w:val="24"/>
          <w:lang w:val="mn-MN"/>
        </w:rPr>
        <w:tab/>
      </w:r>
      <w:r w:rsidRPr="00992F6E">
        <w:rPr>
          <w:rFonts w:ascii="Arial" w:hAnsi="Arial" w:cs="Arial"/>
          <w:b/>
          <w:sz w:val="24"/>
          <w:szCs w:val="24"/>
          <w:u w:val="single"/>
          <w:lang w:val="mn-MN"/>
        </w:rPr>
        <w:t xml:space="preserve">Судалгааны зорилтууд: </w:t>
      </w:r>
    </w:p>
    <w:p w:rsidR="002C73DB" w:rsidRPr="002C73DB" w:rsidRDefault="002C73DB" w:rsidP="002C73DB">
      <w:pPr>
        <w:pStyle w:val="ListParagraph"/>
        <w:numPr>
          <w:ilvl w:val="0"/>
          <w:numId w:val="1"/>
        </w:numPr>
        <w:spacing w:line="360" w:lineRule="auto"/>
        <w:jc w:val="both"/>
      </w:pPr>
      <w:r>
        <w:rPr>
          <w:rFonts w:ascii="Arial" w:hAnsi="Arial" w:cs="Arial"/>
          <w:sz w:val="24"/>
          <w:szCs w:val="24"/>
          <w:lang w:val="mn-MN"/>
        </w:rPr>
        <w:t>МУБИС-ийн 1-р курсийн оюутнуудын тэсвэрийн чанарыг тодорхойлох</w:t>
      </w:r>
    </w:p>
    <w:p w:rsidR="002C73DB" w:rsidRPr="002C73DB" w:rsidRDefault="002C73DB" w:rsidP="002C73DB">
      <w:pPr>
        <w:pStyle w:val="ListParagraph"/>
        <w:numPr>
          <w:ilvl w:val="0"/>
          <w:numId w:val="1"/>
        </w:numPr>
        <w:spacing w:line="360" w:lineRule="auto"/>
        <w:jc w:val="both"/>
      </w:pPr>
      <w:r>
        <w:rPr>
          <w:rFonts w:ascii="Arial" w:hAnsi="Arial" w:cs="Arial"/>
          <w:sz w:val="24"/>
          <w:szCs w:val="24"/>
          <w:lang w:val="mn-MN"/>
        </w:rPr>
        <w:t>Оюутнуудын бие бялдрын хөгжилт, бэлтгэлжилтийг дээшлүүлэх арга замыг боловсронгуй болгох</w:t>
      </w:r>
    </w:p>
    <w:p w:rsidR="002C73DB" w:rsidRPr="00992F6E" w:rsidRDefault="00992F6E" w:rsidP="00992F6E">
      <w:pPr>
        <w:spacing w:line="360" w:lineRule="auto"/>
        <w:ind w:firstLine="720"/>
        <w:jc w:val="both"/>
        <w:rPr>
          <w:rFonts w:ascii="Arial" w:hAnsi="Arial" w:cs="Arial"/>
          <w:b/>
          <w:sz w:val="24"/>
          <w:szCs w:val="24"/>
          <w:u w:val="single"/>
          <w:lang w:val="mn-MN"/>
        </w:rPr>
      </w:pPr>
      <w:r w:rsidRPr="00992F6E">
        <w:rPr>
          <w:rFonts w:ascii="Arial" w:hAnsi="Arial" w:cs="Arial"/>
          <w:b/>
          <w:sz w:val="24"/>
          <w:szCs w:val="24"/>
          <w:u w:val="single"/>
          <w:lang w:val="mn-MN"/>
        </w:rPr>
        <w:t>Судалгааны парактик ач холбогдол:</w:t>
      </w:r>
    </w:p>
    <w:p w:rsidR="00992F6E" w:rsidRDefault="00992F6E" w:rsidP="00992F6E">
      <w:pPr>
        <w:spacing w:line="360" w:lineRule="auto"/>
        <w:ind w:firstLine="720"/>
        <w:jc w:val="both"/>
        <w:rPr>
          <w:rFonts w:ascii="Arial" w:hAnsi="Arial" w:cs="Arial"/>
          <w:sz w:val="24"/>
          <w:szCs w:val="24"/>
          <w:lang w:val="mn-MN"/>
        </w:rPr>
      </w:pPr>
      <w:r>
        <w:rPr>
          <w:rFonts w:ascii="Arial" w:hAnsi="Arial" w:cs="Arial"/>
          <w:sz w:val="24"/>
          <w:szCs w:val="24"/>
          <w:lang w:val="mn-MN"/>
        </w:rPr>
        <w:t>Оюутан залуучуудын бие бялдрын хүмүүжлийн асуудлыг иж бүрнээр нь авч үзэж улам боловсронгуй болгох асуудал шаардлагатай байна. Энэхүү судалгааг практикт нэвтрүүлсэнээр:</w:t>
      </w:r>
    </w:p>
    <w:p w:rsidR="00992F6E" w:rsidRPr="00992F6E" w:rsidRDefault="00992F6E" w:rsidP="00992F6E">
      <w:pPr>
        <w:pStyle w:val="ListParagraph"/>
        <w:numPr>
          <w:ilvl w:val="0"/>
          <w:numId w:val="4"/>
        </w:numPr>
        <w:spacing w:line="360" w:lineRule="auto"/>
        <w:jc w:val="both"/>
        <w:rPr>
          <w:rFonts w:ascii="Arial" w:hAnsi="Arial" w:cs="Arial"/>
          <w:sz w:val="24"/>
          <w:szCs w:val="24"/>
          <w:lang w:val="mn-MN"/>
        </w:rPr>
      </w:pPr>
      <w:r w:rsidRPr="00992F6E">
        <w:rPr>
          <w:rFonts w:ascii="Arial" w:hAnsi="Arial" w:cs="Arial"/>
          <w:sz w:val="24"/>
          <w:szCs w:val="24"/>
          <w:lang w:val="mn-MN"/>
        </w:rPr>
        <w:t>Оюутнуудын биеийн тамирын хичээлийн ба хичээлийн бус хэлбэрийн бие бялдрын хүмүүжлийн ажлуудын агуулгыг шинжлэх ухааны үндэслэлтэй тогтоох бололцоог хангах</w:t>
      </w:r>
    </w:p>
    <w:p w:rsidR="00992F6E" w:rsidRPr="00992F6E" w:rsidRDefault="00992F6E" w:rsidP="00992F6E">
      <w:pPr>
        <w:pStyle w:val="ListParagraph"/>
        <w:numPr>
          <w:ilvl w:val="0"/>
          <w:numId w:val="4"/>
        </w:numPr>
        <w:spacing w:line="360" w:lineRule="auto"/>
        <w:jc w:val="both"/>
        <w:rPr>
          <w:rFonts w:ascii="Arial" w:hAnsi="Arial" w:cs="Arial"/>
          <w:sz w:val="24"/>
          <w:szCs w:val="24"/>
          <w:lang w:val="mn-MN"/>
        </w:rPr>
      </w:pPr>
      <w:r w:rsidRPr="00992F6E">
        <w:rPr>
          <w:rFonts w:ascii="Arial" w:hAnsi="Arial" w:cs="Arial"/>
          <w:sz w:val="24"/>
          <w:szCs w:val="24"/>
          <w:lang w:val="mn-MN"/>
        </w:rPr>
        <w:t>Оюутны бие бялдрын бэлтгэлжилтийг үнэлж дүгнэх шалгууруудыг оновчтой тогтоох</w:t>
      </w:r>
    </w:p>
    <w:p w:rsidR="00992F6E" w:rsidRPr="00992F6E" w:rsidRDefault="00992F6E" w:rsidP="00992F6E">
      <w:pPr>
        <w:pStyle w:val="ListParagraph"/>
        <w:numPr>
          <w:ilvl w:val="0"/>
          <w:numId w:val="4"/>
        </w:numPr>
        <w:spacing w:line="360" w:lineRule="auto"/>
        <w:jc w:val="both"/>
        <w:rPr>
          <w:rFonts w:ascii="Arial" w:hAnsi="Arial" w:cs="Arial"/>
          <w:sz w:val="24"/>
          <w:szCs w:val="24"/>
          <w:lang w:val="mn-MN"/>
        </w:rPr>
      </w:pPr>
      <w:r w:rsidRPr="00992F6E">
        <w:rPr>
          <w:rFonts w:ascii="Arial" w:hAnsi="Arial" w:cs="Arial"/>
          <w:sz w:val="24"/>
          <w:szCs w:val="24"/>
          <w:lang w:val="mn-MN"/>
        </w:rPr>
        <w:t>Оюутан залуучуудын бие бялдрын бэлтгэлжилтийг дээшлүүлэх арга замыг боловсронгуй болгоход ашиглаж болно.</w:t>
      </w:r>
    </w:p>
    <w:p w:rsidR="001B180D" w:rsidRDefault="001B180D" w:rsidP="00992F6E">
      <w:pPr>
        <w:spacing w:line="360" w:lineRule="auto"/>
        <w:ind w:firstLine="720"/>
        <w:jc w:val="both"/>
        <w:rPr>
          <w:rFonts w:ascii="Arial" w:hAnsi="Arial" w:cs="Arial"/>
          <w:b/>
          <w:sz w:val="24"/>
          <w:szCs w:val="24"/>
          <w:u w:val="single"/>
          <w:lang w:val="mn-MN"/>
        </w:rPr>
      </w:pPr>
    </w:p>
    <w:p w:rsidR="00992F6E" w:rsidRPr="00992F6E" w:rsidRDefault="00992F6E" w:rsidP="00992F6E">
      <w:pPr>
        <w:spacing w:line="360" w:lineRule="auto"/>
        <w:ind w:firstLine="720"/>
        <w:jc w:val="both"/>
        <w:rPr>
          <w:rFonts w:ascii="Arial" w:hAnsi="Arial" w:cs="Arial"/>
          <w:b/>
          <w:sz w:val="24"/>
          <w:szCs w:val="24"/>
          <w:u w:val="single"/>
          <w:lang w:val="mn-MN"/>
        </w:rPr>
      </w:pPr>
      <w:r w:rsidRPr="00992F6E">
        <w:rPr>
          <w:rFonts w:ascii="Arial" w:hAnsi="Arial" w:cs="Arial"/>
          <w:b/>
          <w:sz w:val="24"/>
          <w:szCs w:val="24"/>
          <w:u w:val="single"/>
          <w:lang w:val="mn-MN"/>
        </w:rPr>
        <w:lastRenderedPageBreak/>
        <w:t>Судалгааны аргууд:</w:t>
      </w:r>
    </w:p>
    <w:p w:rsidR="00992F6E" w:rsidRDefault="00992F6E" w:rsidP="00992F6E">
      <w:pPr>
        <w:spacing w:line="360" w:lineRule="auto"/>
        <w:jc w:val="both"/>
        <w:rPr>
          <w:rFonts w:ascii="Arial" w:hAnsi="Arial" w:cs="Arial"/>
          <w:sz w:val="24"/>
          <w:szCs w:val="24"/>
          <w:lang w:val="mn-MN"/>
        </w:rPr>
      </w:pPr>
      <w:r>
        <w:rPr>
          <w:rFonts w:ascii="Arial" w:hAnsi="Arial" w:cs="Arial"/>
          <w:sz w:val="24"/>
          <w:szCs w:val="24"/>
          <w:lang w:val="mn-MN"/>
        </w:rPr>
        <w:t xml:space="preserve">Тестийн болон математик статистикийн аргуудыг хэрэглэсэн. </w:t>
      </w:r>
    </w:p>
    <w:p w:rsidR="00996911" w:rsidRDefault="00992F6E" w:rsidP="001B180D">
      <w:pPr>
        <w:spacing w:line="360" w:lineRule="auto"/>
        <w:jc w:val="both"/>
        <w:rPr>
          <w:rFonts w:ascii="Arial" w:eastAsia="Times New Roman" w:hAnsi="Arial" w:cs="Arial"/>
          <w:sz w:val="24"/>
          <w:szCs w:val="24"/>
          <w:lang w:val="mn-MN"/>
        </w:rPr>
      </w:pPr>
      <w:r>
        <w:rPr>
          <w:rFonts w:ascii="Arial" w:hAnsi="Arial" w:cs="Arial"/>
          <w:sz w:val="24"/>
          <w:szCs w:val="24"/>
          <w:lang w:val="mn-MN"/>
        </w:rPr>
        <w:tab/>
      </w:r>
      <w:r w:rsidR="00996911" w:rsidRPr="005E44CE">
        <w:rPr>
          <w:rFonts w:ascii="Arial" w:hAnsi="Arial" w:cs="Arial"/>
          <w:b/>
          <w:sz w:val="24"/>
          <w:szCs w:val="24"/>
          <w:u w:val="single"/>
          <w:lang w:val="mn-MN"/>
        </w:rPr>
        <w:t>Тэсвэрийн чанарыг тодорхойлох арга:</w:t>
      </w:r>
      <w:r w:rsidR="00996911">
        <w:rPr>
          <w:rFonts w:ascii="Arial" w:hAnsi="Arial" w:cs="Arial"/>
          <w:b/>
          <w:sz w:val="24"/>
          <w:szCs w:val="24"/>
          <w:lang w:val="mn-MN"/>
        </w:rPr>
        <w:t xml:space="preserve"> </w:t>
      </w:r>
      <w:proofErr w:type="spellStart"/>
      <w:r w:rsidR="00996911" w:rsidRPr="00335B99">
        <w:rPr>
          <w:rFonts w:ascii="Arial" w:eastAsia="Times New Roman" w:hAnsi="Arial" w:cs="Arial"/>
          <w:b/>
          <w:bCs/>
          <w:sz w:val="24"/>
          <w:szCs w:val="24"/>
        </w:rPr>
        <w:t>Дасгалын</w:t>
      </w:r>
      <w:proofErr w:type="spellEnd"/>
      <w:r w:rsidR="00996911" w:rsidRPr="00335B99">
        <w:rPr>
          <w:rFonts w:ascii="Arial" w:eastAsia="Times New Roman" w:hAnsi="Arial" w:cs="Arial"/>
          <w:b/>
          <w:bCs/>
          <w:sz w:val="24"/>
          <w:szCs w:val="24"/>
        </w:rPr>
        <w:t xml:space="preserve"> </w:t>
      </w:r>
      <w:proofErr w:type="spellStart"/>
      <w:r w:rsidR="00996911" w:rsidRPr="00335B99">
        <w:rPr>
          <w:rFonts w:ascii="Arial" w:eastAsia="Times New Roman" w:hAnsi="Arial" w:cs="Arial"/>
          <w:b/>
          <w:bCs/>
          <w:sz w:val="24"/>
          <w:szCs w:val="24"/>
        </w:rPr>
        <w:t>аргачилал</w:t>
      </w:r>
      <w:proofErr w:type="spellEnd"/>
      <w:r w:rsidR="00996911" w:rsidRPr="00335B99">
        <w:rPr>
          <w:rFonts w:ascii="Arial" w:eastAsia="Times New Roman" w:hAnsi="Arial" w:cs="Arial"/>
          <w:b/>
          <w:bCs/>
          <w:sz w:val="24"/>
          <w:szCs w:val="24"/>
        </w:rPr>
        <w:t>:</w:t>
      </w:r>
      <w:r w:rsidR="00996911" w:rsidRPr="00335B99">
        <w:rPr>
          <w:rFonts w:ascii="Arial" w:eastAsia="Times New Roman" w:hAnsi="Arial" w:cs="Arial"/>
          <w:sz w:val="24"/>
          <w:szCs w:val="24"/>
        </w:rPr>
        <w:t xml:space="preserve"> </w:t>
      </w:r>
      <w:proofErr w:type="spellStart"/>
      <w:r w:rsidR="00996911" w:rsidRPr="00335B99">
        <w:rPr>
          <w:rFonts w:ascii="Arial" w:eastAsia="Times New Roman" w:hAnsi="Arial" w:cs="Arial"/>
          <w:sz w:val="24"/>
          <w:szCs w:val="24"/>
        </w:rPr>
        <w:t>Амьсгалаа</w:t>
      </w:r>
      <w:proofErr w:type="spellEnd"/>
      <w:r w:rsidR="00996911" w:rsidRPr="00335B99">
        <w:rPr>
          <w:rFonts w:ascii="Arial" w:eastAsia="Times New Roman" w:hAnsi="Arial" w:cs="Arial"/>
          <w:sz w:val="24"/>
          <w:szCs w:val="24"/>
        </w:rPr>
        <w:t xml:space="preserve"> </w:t>
      </w:r>
      <w:proofErr w:type="spellStart"/>
      <w:r w:rsidR="00996911" w:rsidRPr="00335B99">
        <w:rPr>
          <w:rFonts w:ascii="Arial" w:eastAsia="Times New Roman" w:hAnsi="Arial" w:cs="Arial"/>
          <w:sz w:val="24"/>
          <w:szCs w:val="24"/>
        </w:rPr>
        <w:t>хир</w:t>
      </w:r>
      <w:proofErr w:type="spellEnd"/>
      <w:r w:rsidR="00996911" w:rsidRPr="00335B99">
        <w:rPr>
          <w:rFonts w:ascii="Arial" w:eastAsia="Times New Roman" w:hAnsi="Arial" w:cs="Arial"/>
          <w:sz w:val="24"/>
          <w:szCs w:val="24"/>
        </w:rPr>
        <w:t xml:space="preserve"> </w:t>
      </w:r>
      <w:proofErr w:type="spellStart"/>
      <w:r w:rsidR="00996911" w:rsidRPr="00335B99">
        <w:rPr>
          <w:rFonts w:ascii="Arial" w:eastAsia="Times New Roman" w:hAnsi="Arial" w:cs="Arial"/>
          <w:sz w:val="24"/>
          <w:szCs w:val="24"/>
        </w:rPr>
        <w:t>удаан</w:t>
      </w:r>
      <w:proofErr w:type="spellEnd"/>
      <w:r w:rsidR="00996911" w:rsidRPr="00335B99">
        <w:rPr>
          <w:rFonts w:ascii="Arial" w:eastAsia="Times New Roman" w:hAnsi="Arial" w:cs="Arial"/>
          <w:sz w:val="24"/>
          <w:szCs w:val="24"/>
        </w:rPr>
        <w:t xml:space="preserve"> </w:t>
      </w:r>
      <w:proofErr w:type="spellStart"/>
      <w:r w:rsidR="00996911" w:rsidRPr="00335B99">
        <w:rPr>
          <w:rFonts w:ascii="Arial" w:eastAsia="Times New Roman" w:hAnsi="Arial" w:cs="Arial"/>
          <w:sz w:val="24"/>
          <w:szCs w:val="24"/>
        </w:rPr>
        <w:t>хугацаанд</w:t>
      </w:r>
      <w:proofErr w:type="spellEnd"/>
      <w:r w:rsidR="00996911" w:rsidRPr="00335B99">
        <w:rPr>
          <w:rFonts w:ascii="Arial" w:eastAsia="Times New Roman" w:hAnsi="Arial" w:cs="Arial"/>
          <w:sz w:val="24"/>
          <w:szCs w:val="24"/>
        </w:rPr>
        <w:t xml:space="preserve"> </w:t>
      </w:r>
      <w:proofErr w:type="spellStart"/>
      <w:r w:rsidR="00996911" w:rsidRPr="00335B99">
        <w:rPr>
          <w:rFonts w:ascii="Arial" w:eastAsia="Times New Roman" w:hAnsi="Arial" w:cs="Arial"/>
          <w:sz w:val="24"/>
          <w:szCs w:val="24"/>
        </w:rPr>
        <w:t>гаргаж</w:t>
      </w:r>
      <w:proofErr w:type="spellEnd"/>
      <w:r w:rsidR="00996911" w:rsidRPr="00335B99">
        <w:rPr>
          <w:rFonts w:ascii="Arial" w:eastAsia="Times New Roman" w:hAnsi="Arial" w:cs="Arial"/>
          <w:sz w:val="24"/>
          <w:szCs w:val="24"/>
        </w:rPr>
        <w:t xml:space="preserve"> </w:t>
      </w:r>
      <w:proofErr w:type="spellStart"/>
      <w:r w:rsidR="00996911" w:rsidRPr="00335B99">
        <w:rPr>
          <w:rFonts w:ascii="Arial" w:eastAsia="Times New Roman" w:hAnsi="Arial" w:cs="Arial"/>
          <w:sz w:val="24"/>
          <w:szCs w:val="24"/>
        </w:rPr>
        <w:t>чадах</w:t>
      </w:r>
      <w:proofErr w:type="spellEnd"/>
      <w:r w:rsidR="00996911" w:rsidRPr="00335B99">
        <w:rPr>
          <w:rFonts w:ascii="Arial" w:eastAsia="Times New Roman" w:hAnsi="Arial" w:cs="Arial"/>
          <w:sz w:val="24"/>
          <w:szCs w:val="24"/>
        </w:rPr>
        <w:t xml:space="preserve"> </w:t>
      </w:r>
      <w:proofErr w:type="spellStart"/>
      <w:r w:rsidR="00996911" w:rsidRPr="00335B99">
        <w:rPr>
          <w:rFonts w:ascii="Arial" w:eastAsia="Times New Roman" w:hAnsi="Arial" w:cs="Arial"/>
          <w:sz w:val="24"/>
          <w:szCs w:val="24"/>
        </w:rPr>
        <w:t>чадвараар</w:t>
      </w:r>
      <w:proofErr w:type="spellEnd"/>
      <w:r w:rsidR="00996911" w:rsidRPr="00335B99">
        <w:rPr>
          <w:rFonts w:ascii="Arial" w:eastAsia="Times New Roman" w:hAnsi="Arial" w:cs="Arial"/>
          <w:sz w:val="24"/>
          <w:szCs w:val="24"/>
        </w:rPr>
        <w:t xml:space="preserve"> </w:t>
      </w:r>
      <w:proofErr w:type="spellStart"/>
      <w:r w:rsidR="00996911" w:rsidRPr="00335B99">
        <w:rPr>
          <w:rFonts w:ascii="Arial" w:eastAsia="Times New Roman" w:hAnsi="Arial" w:cs="Arial"/>
          <w:sz w:val="24"/>
          <w:szCs w:val="24"/>
        </w:rPr>
        <w:t>тэсвэржилтээ</w:t>
      </w:r>
      <w:proofErr w:type="spellEnd"/>
      <w:r w:rsidR="00996911" w:rsidRPr="00335B99">
        <w:rPr>
          <w:rFonts w:ascii="Arial" w:eastAsia="Times New Roman" w:hAnsi="Arial" w:cs="Arial"/>
          <w:sz w:val="24"/>
          <w:szCs w:val="24"/>
        </w:rPr>
        <w:t xml:space="preserve"> </w:t>
      </w:r>
      <w:proofErr w:type="spellStart"/>
      <w:r w:rsidR="00996911" w:rsidRPr="00335B99">
        <w:rPr>
          <w:rFonts w:ascii="Arial" w:eastAsia="Times New Roman" w:hAnsi="Arial" w:cs="Arial"/>
          <w:sz w:val="24"/>
          <w:szCs w:val="24"/>
        </w:rPr>
        <w:t>шалгаж</w:t>
      </w:r>
      <w:proofErr w:type="spellEnd"/>
      <w:r w:rsidR="00996911" w:rsidRPr="00335B99">
        <w:rPr>
          <w:rFonts w:ascii="Arial" w:eastAsia="Times New Roman" w:hAnsi="Arial" w:cs="Arial"/>
          <w:sz w:val="24"/>
          <w:szCs w:val="24"/>
        </w:rPr>
        <w:t xml:space="preserve"> </w:t>
      </w:r>
      <w:proofErr w:type="spellStart"/>
      <w:r w:rsidR="00996911" w:rsidRPr="00335B99">
        <w:rPr>
          <w:rFonts w:ascii="Arial" w:eastAsia="Times New Roman" w:hAnsi="Arial" w:cs="Arial"/>
          <w:sz w:val="24"/>
          <w:szCs w:val="24"/>
        </w:rPr>
        <w:t>болно</w:t>
      </w:r>
      <w:proofErr w:type="spellEnd"/>
      <w:r w:rsidR="00996911" w:rsidRPr="00335B99">
        <w:rPr>
          <w:rFonts w:ascii="Arial" w:eastAsia="Times New Roman" w:hAnsi="Arial" w:cs="Arial"/>
          <w:sz w:val="24"/>
          <w:szCs w:val="24"/>
        </w:rPr>
        <w:t xml:space="preserve">. </w:t>
      </w:r>
      <w:proofErr w:type="spellStart"/>
      <w:proofErr w:type="gramStart"/>
      <w:r w:rsidR="00996911" w:rsidRPr="00335B99">
        <w:rPr>
          <w:rFonts w:ascii="Arial" w:eastAsia="Times New Roman" w:hAnsi="Arial" w:cs="Arial"/>
          <w:sz w:val="24"/>
          <w:szCs w:val="24"/>
        </w:rPr>
        <w:t>Эхлээд</w:t>
      </w:r>
      <w:proofErr w:type="spellEnd"/>
      <w:r w:rsidR="00996911" w:rsidRPr="00335B99">
        <w:rPr>
          <w:rFonts w:ascii="Arial" w:eastAsia="Times New Roman" w:hAnsi="Arial" w:cs="Arial"/>
          <w:sz w:val="24"/>
          <w:szCs w:val="24"/>
        </w:rPr>
        <w:t xml:space="preserve"> </w:t>
      </w:r>
      <w:proofErr w:type="spellStart"/>
      <w:r w:rsidR="00996911" w:rsidRPr="00335B99">
        <w:rPr>
          <w:rFonts w:ascii="Arial" w:eastAsia="Times New Roman" w:hAnsi="Arial" w:cs="Arial"/>
          <w:sz w:val="24"/>
          <w:szCs w:val="24"/>
        </w:rPr>
        <w:t>амьсгалаа</w:t>
      </w:r>
      <w:proofErr w:type="spellEnd"/>
      <w:r w:rsidR="00996911" w:rsidRPr="00335B99">
        <w:rPr>
          <w:rFonts w:ascii="Arial" w:eastAsia="Times New Roman" w:hAnsi="Arial" w:cs="Arial"/>
          <w:sz w:val="24"/>
          <w:szCs w:val="24"/>
        </w:rPr>
        <w:t xml:space="preserve"> </w:t>
      </w:r>
      <w:proofErr w:type="spellStart"/>
      <w:r w:rsidR="00996911" w:rsidRPr="00335B99">
        <w:rPr>
          <w:rFonts w:ascii="Arial" w:eastAsia="Times New Roman" w:hAnsi="Arial" w:cs="Arial"/>
          <w:sz w:val="24"/>
          <w:szCs w:val="24"/>
        </w:rPr>
        <w:t>уртаар</w:t>
      </w:r>
      <w:proofErr w:type="spellEnd"/>
      <w:r w:rsidR="00996911" w:rsidRPr="00335B99">
        <w:rPr>
          <w:rFonts w:ascii="Arial" w:eastAsia="Times New Roman" w:hAnsi="Arial" w:cs="Arial"/>
          <w:sz w:val="24"/>
          <w:szCs w:val="24"/>
        </w:rPr>
        <w:t xml:space="preserve"> </w:t>
      </w:r>
      <w:proofErr w:type="spellStart"/>
      <w:r w:rsidR="00996911" w:rsidRPr="00335B99">
        <w:rPr>
          <w:rFonts w:ascii="Arial" w:eastAsia="Times New Roman" w:hAnsi="Arial" w:cs="Arial"/>
          <w:sz w:val="24"/>
          <w:szCs w:val="24"/>
        </w:rPr>
        <w:t>гүнзгий</w:t>
      </w:r>
      <w:proofErr w:type="spellEnd"/>
      <w:r w:rsidR="00996911" w:rsidRPr="00335B99">
        <w:rPr>
          <w:rFonts w:ascii="Arial" w:eastAsia="Times New Roman" w:hAnsi="Arial" w:cs="Arial"/>
          <w:sz w:val="24"/>
          <w:szCs w:val="24"/>
        </w:rPr>
        <w:t xml:space="preserve"> </w:t>
      </w:r>
      <w:proofErr w:type="spellStart"/>
      <w:r w:rsidR="00996911" w:rsidRPr="00335B99">
        <w:rPr>
          <w:rFonts w:ascii="Arial" w:eastAsia="Times New Roman" w:hAnsi="Arial" w:cs="Arial"/>
          <w:sz w:val="24"/>
          <w:szCs w:val="24"/>
        </w:rPr>
        <w:t>авна</w:t>
      </w:r>
      <w:proofErr w:type="spellEnd"/>
      <w:r w:rsidR="00996911" w:rsidRPr="00335B99">
        <w:rPr>
          <w:rFonts w:ascii="Arial" w:eastAsia="Times New Roman" w:hAnsi="Arial" w:cs="Arial"/>
          <w:sz w:val="24"/>
          <w:szCs w:val="24"/>
        </w:rPr>
        <w:t>.</w:t>
      </w:r>
      <w:proofErr w:type="gramEnd"/>
      <w:r w:rsidR="00996911">
        <w:rPr>
          <w:rFonts w:ascii="Arial" w:eastAsia="Times New Roman" w:hAnsi="Arial" w:cs="Arial"/>
          <w:sz w:val="24"/>
          <w:szCs w:val="24"/>
          <w:lang w:val="mn-MN"/>
        </w:rPr>
        <w:t xml:space="preserve"> </w:t>
      </w:r>
      <w:proofErr w:type="spellStart"/>
      <w:proofErr w:type="gramStart"/>
      <w:r w:rsidR="00996911" w:rsidRPr="00335B99">
        <w:rPr>
          <w:rFonts w:ascii="Arial" w:eastAsia="Times New Roman" w:hAnsi="Arial" w:cs="Arial"/>
          <w:sz w:val="24"/>
          <w:szCs w:val="24"/>
        </w:rPr>
        <w:t>Тэгээд</w:t>
      </w:r>
      <w:proofErr w:type="spellEnd"/>
      <w:r w:rsidR="00996911" w:rsidRPr="00335B99">
        <w:rPr>
          <w:rFonts w:ascii="Arial" w:eastAsia="Times New Roman" w:hAnsi="Arial" w:cs="Arial"/>
          <w:sz w:val="24"/>
          <w:szCs w:val="24"/>
        </w:rPr>
        <w:t xml:space="preserve"> </w:t>
      </w:r>
      <w:proofErr w:type="spellStart"/>
      <w:r w:rsidR="00996911" w:rsidRPr="00335B99">
        <w:rPr>
          <w:rFonts w:ascii="Arial" w:eastAsia="Times New Roman" w:hAnsi="Arial" w:cs="Arial"/>
          <w:sz w:val="24"/>
          <w:szCs w:val="24"/>
        </w:rPr>
        <w:t>аажмаар</w:t>
      </w:r>
      <w:proofErr w:type="spellEnd"/>
      <w:r w:rsidR="00996911" w:rsidRPr="00335B99">
        <w:rPr>
          <w:rFonts w:ascii="Arial" w:eastAsia="Times New Roman" w:hAnsi="Arial" w:cs="Arial"/>
          <w:sz w:val="24"/>
          <w:szCs w:val="24"/>
        </w:rPr>
        <w:t xml:space="preserve"> </w:t>
      </w:r>
      <w:proofErr w:type="spellStart"/>
      <w:r w:rsidR="00996911" w:rsidRPr="00335B99">
        <w:rPr>
          <w:rFonts w:ascii="Arial" w:eastAsia="Times New Roman" w:hAnsi="Arial" w:cs="Arial"/>
          <w:sz w:val="24"/>
          <w:szCs w:val="24"/>
        </w:rPr>
        <w:t>удаан</w:t>
      </w:r>
      <w:proofErr w:type="spellEnd"/>
      <w:r w:rsidR="00996911" w:rsidRPr="00335B99">
        <w:rPr>
          <w:rFonts w:ascii="Arial" w:eastAsia="Times New Roman" w:hAnsi="Arial" w:cs="Arial"/>
          <w:sz w:val="24"/>
          <w:szCs w:val="24"/>
        </w:rPr>
        <w:t xml:space="preserve"> </w:t>
      </w:r>
      <w:proofErr w:type="spellStart"/>
      <w:r w:rsidR="00996911" w:rsidRPr="00335B99">
        <w:rPr>
          <w:rFonts w:ascii="Arial" w:eastAsia="Times New Roman" w:hAnsi="Arial" w:cs="Arial"/>
          <w:sz w:val="24"/>
          <w:szCs w:val="24"/>
        </w:rPr>
        <w:t>гарга</w:t>
      </w:r>
      <w:proofErr w:type="spellEnd"/>
      <w:r w:rsidR="00996911">
        <w:rPr>
          <w:rFonts w:ascii="Arial" w:eastAsia="Times New Roman" w:hAnsi="Arial" w:cs="Arial"/>
          <w:sz w:val="24"/>
          <w:szCs w:val="24"/>
          <w:lang w:val="mn-MN"/>
        </w:rPr>
        <w:t>на.</w:t>
      </w:r>
      <w:proofErr w:type="gramEnd"/>
      <w:r w:rsidR="00996911">
        <w:rPr>
          <w:rFonts w:ascii="Arial" w:eastAsia="Times New Roman" w:hAnsi="Arial" w:cs="Arial"/>
          <w:sz w:val="24"/>
          <w:szCs w:val="24"/>
          <w:lang w:val="mn-MN"/>
        </w:rPr>
        <w:t xml:space="preserve"> </w:t>
      </w:r>
      <w:proofErr w:type="spellStart"/>
      <w:proofErr w:type="gramStart"/>
      <w:r w:rsidR="00996911" w:rsidRPr="00335B99">
        <w:rPr>
          <w:rFonts w:ascii="Arial" w:eastAsia="Times New Roman" w:hAnsi="Arial" w:cs="Arial"/>
          <w:sz w:val="24"/>
          <w:szCs w:val="24"/>
        </w:rPr>
        <w:t>Хэдий</w:t>
      </w:r>
      <w:proofErr w:type="spellEnd"/>
      <w:r w:rsidR="00996911" w:rsidRPr="00335B99">
        <w:rPr>
          <w:rFonts w:ascii="Arial" w:eastAsia="Times New Roman" w:hAnsi="Arial" w:cs="Arial"/>
          <w:sz w:val="24"/>
          <w:szCs w:val="24"/>
        </w:rPr>
        <w:t xml:space="preserve"> </w:t>
      </w:r>
      <w:proofErr w:type="spellStart"/>
      <w:r w:rsidR="00996911" w:rsidRPr="00335B99">
        <w:rPr>
          <w:rFonts w:ascii="Arial" w:eastAsia="Times New Roman" w:hAnsi="Arial" w:cs="Arial"/>
          <w:sz w:val="24"/>
          <w:szCs w:val="24"/>
        </w:rPr>
        <w:t>чинээ</w:t>
      </w:r>
      <w:proofErr w:type="spellEnd"/>
      <w:r w:rsidR="00996911" w:rsidRPr="00335B99">
        <w:rPr>
          <w:rFonts w:ascii="Arial" w:eastAsia="Times New Roman" w:hAnsi="Arial" w:cs="Arial"/>
          <w:sz w:val="24"/>
          <w:szCs w:val="24"/>
        </w:rPr>
        <w:t xml:space="preserve"> </w:t>
      </w:r>
      <w:proofErr w:type="spellStart"/>
      <w:r w:rsidR="00996911" w:rsidRPr="00335B99">
        <w:rPr>
          <w:rFonts w:ascii="Arial" w:eastAsia="Times New Roman" w:hAnsi="Arial" w:cs="Arial"/>
          <w:sz w:val="24"/>
          <w:szCs w:val="24"/>
        </w:rPr>
        <w:t>удаанаар</w:t>
      </w:r>
      <w:proofErr w:type="spellEnd"/>
      <w:r w:rsidR="00996911" w:rsidRPr="00335B99">
        <w:rPr>
          <w:rFonts w:ascii="Arial" w:eastAsia="Times New Roman" w:hAnsi="Arial" w:cs="Arial"/>
          <w:sz w:val="24"/>
          <w:szCs w:val="24"/>
        </w:rPr>
        <w:t xml:space="preserve"> </w:t>
      </w:r>
      <w:proofErr w:type="spellStart"/>
      <w:r w:rsidR="00996911" w:rsidRPr="00335B99">
        <w:rPr>
          <w:rFonts w:ascii="Arial" w:eastAsia="Times New Roman" w:hAnsi="Arial" w:cs="Arial"/>
          <w:sz w:val="24"/>
          <w:szCs w:val="24"/>
        </w:rPr>
        <w:t>амьсгалаа</w:t>
      </w:r>
      <w:proofErr w:type="spellEnd"/>
      <w:r w:rsidR="00996911" w:rsidRPr="00335B99">
        <w:rPr>
          <w:rFonts w:ascii="Arial" w:eastAsia="Times New Roman" w:hAnsi="Arial" w:cs="Arial"/>
          <w:sz w:val="24"/>
          <w:szCs w:val="24"/>
        </w:rPr>
        <w:t xml:space="preserve"> </w:t>
      </w:r>
      <w:proofErr w:type="spellStart"/>
      <w:r w:rsidR="00996911" w:rsidRPr="00335B99">
        <w:rPr>
          <w:rFonts w:ascii="Arial" w:eastAsia="Times New Roman" w:hAnsi="Arial" w:cs="Arial"/>
          <w:sz w:val="24"/>
          <w:szCs w:val="24"/>
        </w:rPr>
        <w:t>үлээж</w:t>
      </w:r>
      <w:proofErr w:type="spellEnd"/>
      <w:r w:rsidR="00996911" w:rsidRPr="00335B99">
        <w:rPr>
          <w:rFonts w:ascii="Arial" w:eastAsia="Times New Roman" w:hAnsi="Arial" w:cs="Arial"/>
          <w:sz w:val="24"/>
          <w:szCs w:val="24"/>
        </w:rPr>
        <w:t xml:space="preserve"> </w:t>
      </w:r>
      <w:proofErr w:type="spellStart"/>
      <w:r w:rsidR="00996911" w:rsidRPr="00335B99">
        <w:rPr>
          <w:rFonts w:ascii="Arial" w:eastAsia="Times New Roman" w:hAnsi="Arial" w:cs="Arial"/>
          <w:sz w:val="24"/>
          <w:szCs w:val="24"/>
        </w:rPr>
        <w:t>гаргасан</w:t>
      </w:r>
      <w:proofErr w:type="spellEnd"/>
      <w:r w:rsidR="00996911" w:rsidRPr="00335B99">
        <w:rPr>
          <w:rFonts w:ascii="Arial" w:eastAsia="Times New Roman" w:hAnsi="Arial" w:cs="Arial"/>
          <w:sz w:val="24"/>
          <w:szCs w:val="24"/>
        </w:rPr>
        <w:t xml:space="preserve"> </w:t>
      </w:r>
      <w:proofErr w:type="spellStart"/>
      <w:r w:rsidR="00996911" w:rsidRPr="00335B99">
        <w:rPr>
          <w:rFonts w:ascii="Arial" w:eastAsia="Times New Roman" w:hAnsi="Arial" w:cs="Arial"/>
          <w:sz w:val="24"/>
          <w:szCs w:val="24"/>
        </w:rPr>
        <w:t>хугацааг</w:t>
      </w:r>
      <w:proofErr w:type="spellEnd"/>
      <w:r w:rsidR="00996911" w:rsidRPr="00335B99">
        <w:rPr>
          <w:rFonts w:ascii="Arial" w:eastAsia="Times New Roman" w:hAnsi="Arial" w:cs="Arial"/>
          <w:sz w:val="24"/>
          <w:szCs w:val="24"/>
        </w:rPr>
        <w:t xml:space="preserve"> </w:t>
      </w:r>
      <w:proofErr w:type="spellStart"/>
      <w:r w:rsidR="00996911" w:rsidRPr="00335B99">
        <w:rPr>
          <w:rFonts w:ascii="Arial" w:eastAsia="Times New Roman" w:hAnsi="Arial" w:cs="Arial"/>
          <w:sz w:val="24"/>
          <w:szCs w:val="24"/>
        </w:rPr>
        <w:t>секундээр</w:t>
      </w:r>
      <w:proofErr w:type="spellEnd"/>
      <w:r w:rsidR="00996911" w:rsidRPr="00335B99">
        <w:rPr>
          <w:rFonts w:ascii="Arial" w:eastAsia="Times New Roman" w:hAnsi="Arial" w:cs="Arial"/>
          <w:sz w:val="24"/>
          <w:szCs w:val="24"/>
        </w:rPr>
        <w:t xml:space="preserve"> </w:t>
      </w:r>
      <w:proofErr w:type="spellStart"/>
      <w:r w:rsidR="00996911" w:rsidRPr="00335B99">
        <w:rPr>
          <w:rFonts w:ascii="Arial" w:eastAsia="Times New Roman" w:hAnsi="Arial" w:cs="Arial"/>
          <w:sz w:val="24"/>
          <w:szCs w:val="24"/>
        </w:rPr>
        <w:t>хэмжинэ</w:t>
      </w:r>
      <w:proofErr w:type="spellEnd"/>
      <w:r w:rsidR="00996911" w:rsidRPr="00335B99">
        <w:rPr>
          <w:rFonts w:ascii="Arial" w:eastAsia="Times New Roman" w:hAnsi="Arial" w:cs="Arial"/>
          <w:sz w:val="24"/>
          <w:szCs w:val="24"/>
        </w:rPr>
        <w:t>.</w:t>
      </w:r>
      <w:proofErr w:type="gramEnd"/>
      <w:r w:rsidR="00996911">
        <w:rPr>
          <w:rFonts w:ascii="Arial" w:eastAsia="Times New Roman" w:hAnsi="Arial" w:cs="Arial"/>
          <w:sz w:val="24"/>
          <w:szCs w:val="24"/>
          <w:lang w:val="mn-MN"/>
        </w:rPr>
        <w:t xml:space="preserve"> </w:t>
      </w:r>
      <w:proofErr w:type="spellStart"/>
      <w:proofErr w:type="gramStart"/>
      <w:r w:rsidR="00996911" w:rsidRPr="00335B99">
        <w:rPr>
          <w:rFonts w:ascii="Arial" w:eastAsia="Times New Roman" w:hAnsi="Arial" w:cs="Arial"/>
          <w:sz w:val="24"/>
          <w:szCs w:val="24"/>
        </w:rPr>
        <w:t>Гэдэсний</w:t>
      </w:r>
      <w:proofErr w:type="spellEnd"/>
      <w:r w:rsidR="00996911" w:rsidRPr="00335B99">
        <w:rPr>
          <w:rFonts w:ascii="Arial" w:eastAsia="Times New Roman" w:hAnsi="Arial" w:cs="Arial"/>
          <w:sz w:val="24"/>
          <w:szCs w:val="24"/>
        </w:rPr>
        <w:t xml:space="preserve"> </w:t>
      </w:r>
      <w:proofErr w:type="spellStart"/>
      <w:r w:rsidR="00996911" w:rsidRPr="00335B99">
        <w:rPr>
          <w:rFonts w:ascii="Arial" w:eastAsia="Times New Roman" w:hAnsi="Arial" w:cs="Arial"/>
          <w:sz w:val="24"/>
          <w:szCs w:val="24"/>
        </w:rPr>
        <w:t>булчин</w:t>
      </w:r>
      <w:proofErr w:type="spellEnd"/>
      <w:r w:rsidR="00996911" w:rsidRPr="00335B99">
        <w:rPr>
          <w:rFonts w:ascii="Arial" w:eastAsia="Times New Roman" w:hAnsi="Arial" w:cs="Arial"/>
          <w:sz w:val="24"/>
          <w:szCs w:val="24"/>
        </w:rPr>
        <w:t xml:space="preserve"> </w:t>
      </w:r>
      <w:proofErr w:type="spellStart"/>
      <w:r w:rsidR="00996911" w:rsidRPr="00335B99">
        <w:rPr>
          <w:rFonts w:ascii="Arial" w:eastAsia="Times New Roman" w:hAnsi="Arial" w:cs="Arial"/>
          <w:sz w:val="24"/>
          <w:szCs w:val="24"/>
        </w:rPr>
        <w:t>уушигны</w:t>
      </w:r>
      <w:proofErr w:type="spellEnd"/>
      <w:r w:rsidR="00996911" w:rsidRPr="00335B99">
        <w:rPr>
          <w:rFonts w:ascii="Arial" w:eastAsia="Times New Roman" w:hAnsi="Arial" w:cs="Arial"/>
          <w:sz w:val="24"/>
          <w:szCs w:val="24"/>
        </w:rPr>
        <w:t xml:space="preserve"> </w:t>
      </w:r>
      <w:proofErr w:type="spellStart"/>
      <w:r w:rsidR="00996911" w:rsidRPr="00335B99">
        <w:rPr>
          <w:rFonts w:ascii="Arial" w:eastAsia="Times New Roman" w:hAnsi="Arial" w:cs="Arial"/>
          <w:sz w:val="24"/>
          <w:szCs w:val="24"/>
        </w:rPr>
        <w:t>чадвараа</w:t>
      </w:r>
      <w:proofErr w:type="spellEnd"/>
      <w:r w:rsidR="00996911" w:rsidRPr="00335B99">
        <w:rPr>
          <w:rFonts w:ascii="Arial" w:eastAsia="Times New Roman" w:hAnsi="Arial" w:cs="Arial"/>
          <w:sz w:val="24"/>
          <w:szCs w:val="24"/>
        </w:rPr>
        <w:t xml:space="preserve"> </w:t>
      </w:r>
      <w:proofErr w:type="spellStart"/>
      <w:r w:rsidR="00996911" w:rsidRPr="00335B99">
        <w:rPr>
          <w:rFonts w:ascii="Arial" w:eastAsia="Times New Roman" w:hAnsi="Arial" w:cs="Arial"/>
          <w:sz w:val="24"/>
          <w:szCs w:val="24"/>
        </w:rPr>
        <w:t>ашиглан</w:t>
      </w:r>
      <w:proofErr w:type="spellEnd"/>
      <w:r w:rsidR="00996911" w:rsidRPr="00335B99">
        <w:rPr>
          <w:rFonts w:ascii="Arial" w:eastAsia="Times New Roman" w:hAnsi="Arial" w:cs="Arial"/>
          <w:sz w:val="24"/>
          <w:szCs w:val="24"/>
        </w:rPr>
        <w:t xml:space="preserve"> </w:t>
      </w:r>
      <w:proofErr w:type="spellStart"/>
      <w:r w:rsidR="00996911" w:rsidRPr="00335B99">
        <w:rPr>
          <w:rFonts w:ascii="Arial" w:eastAsia="Times New Roman" w:hAnsi="Arial" w:cs="Arial"/>
          <w:sz w:val="24"/>
          <w:szCs w:val="24"/>
        </w:rPr>
        <w:t>амьсгалаа</w:t>
      </w:r>
      <w:proofErr w:type="spellEnd"/>
      <w:r w:rsidR="00996911" w:rsidRPr="00335B99">
        <w:rPr>
          <w:rFonts w:ascii="Arial" w:eastAsia="Times New Roman" w:hAnsi="Arial" w:cs="Arial"/>
          <w:sz w:val="24"/>
          <w:szCs w:val="24"/>
        </w:rPr>
        <w:t xml:space="preserve"> </w:t>
      </w:r>
      <w:proofErr w:type="spellStart"/>
      <w:r w:rsidR="00996911" w:rsidRPr="00335B99">
        <w:rPr>
          <w:rFonts w:ascii="Arial" w:eastAsia="Times New Roman" w:hAnsi="Arial" w:cs="Arial"/>
          <w:sz w:val="24"/>
          <w:szCs w:val="24"/>
        </w:rPr>
        <w:t>бүрэн</w:t>
      </w:r>
      <w:proofErr w:type="spellEnd"/>
      <w:r w:rsidR="00996911" w:rsidRPr="00335B99">
        <w:rPr>
          <w:rFonts w:ascii="Arial" w:eastAsia="Times New Roman" w:hAnsi="Arial" w:cs="Arial"/>
          <w:sz w:val="24"/>
          <w:szCs w:val="24"/>
        </w:rPr>
        <w:t xml:space="preserve"> </w:t>
      </w:r>
      <w:proofErr w:type="spellStart"/>
      <w:r w:rsidR="00996911" w:rsidRPr="00335B99">
        <w:rPr>
          <w:rFonts w:ascii="Arial" w:eastAsia="Times New Roman" w:hAnsi="Arial" w:cs="Arial"/>
          <w:sz w:val="24"/>
          <w:szCs w:val="24"/>
        </w:rPr>
        <w:t>дуустал</w:t>
      </w:r>
      <w:proofErr w:type="spellEnd"/>
      <w:r w:rsidR="00996911" w:rsidRPr="00335B99">
        <w:rPr>
          <w:rFonts w:ascii="Arial" w:eastAsia="Times New Roman" w:hAnsi="Arial" w:cs="Arial"/>
          <w:sz w:val="24"/>
          <w:szCs w:val="24"/>
        </w:rPr>
        <w:t xml:space="preserve"> </w:t>
      </w:r>
      <w:proofErr w:type="spellStart"/>
      <w:r w:rsidR="00996911" w:rsidRPr="00335B99">
        <w:rPr>
          <w:rFonts w:ascii="Arial" w:eastAsia="Times New Roman" w:hAnsi="Arial" w:cs="Arial"/>
          <w:sz w:val="24"/>
          <w:szCs w:val="24"/>
        </w:rPr>
        <w:t>нь</w:t>
      </w:r>
      <w:proofErr w:type="spellEnd"/>
      <w:r w:rsidR="00996911" w:rsidRPr="00335B99">
        <w:rPr>
          <w:rFonts w:ascii="Arial" w:eastAsia="Times New Roman" w:hAnsi="Arial" w:cs="Arial"/>
          <w:sz w:val="24"/>
          <w:szCs w:val="24"/>
        </w:rPr>
        <w:t xml:space="preserve"> </w:t>
      </w:r>
      <w:proofErr w:type="spellStart"/>
      <w:r w:rsidR="00996911" w:rsidRPr="00335B99">
        <w:rPr>
          <w:rFonts w:ascii="Arial" w:eastAsia="Times New Roman" w:hAnsi="Arial" w:cs="Arial"/>
          <w:sz w:val="24"/>
          <w:szCs w:val="24"/>
        </w:rPr>
        <w:t>гаргах</w:t>
      </w:r>
      <w:proofErr w:type="spellEnd"/>
      <w:r w:rsidR="00996911" w:rsidRPr="00335B99">
        <w:rPr>
          <w:rFonts w:ascii="Arial" w:eastAsia="Times New Roman" w:hAnsi="Arial" w:cs="Arial"/>
          <w:sz w:val="24"/>
          <w:szCs w:val="24"/>
        </w:rPr>
        <w:t xml:space="preserve"> </w:t>
      </w:r>
      <w:proofErr w:type="spellStart"/>
      <w:r w:rsidR="00996911" w:rsidRPr="00335B99">
        <w:rPr>
          <w:rFonts w:ascii="Arial" w:eastAsia="Times New Roman" w:hAnsi="Arial" w:cs="Arial"/>
          <w:sz w:val="24"/>
          <w:szCs w:val="24"/>
        </w:rPr>
        <w:t>хүртэл</w:t>
      </w:r>
      <w:proofErr w:type="spellEnd"/>
      <w:r w:rsidR="00996911" w:rsidRPr="00335B99">
        <w:rPr>
          <w:rFonts w:ascii="Arial" w:eastAsia="Times New Roman" w:hAnsi="Arial" w:cs="Arial"/>
          <w:sz w:val="24"/>
          <w:szCs w:val="24"/>
        </w:rPr>
        <w:t xml:space="preserve"> </w:t>
      </w:r>
      <w:proofErr w:type="spellStart"/>
      <w:r w:rsidR="00996911" w:rsidRPr="00335B99">
        <w:rPr>
          <w:rFonts w:ascii="Arial" w:eastAsia="Times New Roman" w:hAnsi="Arial" w:cs="Arial"/>
          <w:sz w:val="24"/>
          <w:szCs w:val="24"/>
        </w:rPr>
        <w:t>үргэлжпүүлнэ</w:t>
      </w:r>
      <w:proofErr w:type="spellEnd"/>
      <w:r w:rsidR="00996911" w:rsidRPr="00335B99">
        <w:rPr>
          <w:rFonts w:ascii="Arial" w:eastAsia="Times New Roman" w:hAnsi="Arial" w:cs="Arial"/>
          <w:sz w:val="24"/>
          <w:szCs w:val="24"/>
        </w:rPr>
        <w:t>.</w:t>
      </w:r>
      <w:proofErr w:type="gramEnd"/>
      <w:r w:rsidR="00996911">
        <w:rPr>
          <w:rFonts w:ascii="Arial" w:eastAsia="Times New Roman" w:hAnsi="Arial" w:cs="Arial"/>
          <w:sz w:val="24"/>
          <w:szCs w:val="24"/>
          <w:lang w:val="mn-MN"/>
        </w:rPr>
        <w:t xml:space="preserve"> </w:t>
      </w:r>
      <w:proofErr w:type="spellStart"/>
      <w:proofErr w:type="gramStart"/>
      <w:r w:rsidR="00996911" w:rsidRPr="00335B99">
        <w:rPr>
          <w:rFonts w:ascii="Arial" w:eastAsia="Times New Roman" w:hAnsi="Arial" w:cs="Arial"/>
          <w:sz w:val="24"/>
          <w:szCs w:val="24"/>
        </w:rPr>
        <w:t>Гэхдээ</w:t>
      </w:r>
      <w:proofErr w:type="spellEnd"/>
      <w:r w:rsidR="00996911" w:rsidRPr="00335B99">
        <w:rPr>
          <w:rFonts w:ascii="Arial" w:eastAsia="Times New Roman" w:hAnsi="Arial" w:cs="Arial"/>
          <w:sz w:val="24"/>
          <w:szCs w:val="24"/>
        </w:rPr>
        <w:t xml:space="preserve"> </w:t>
      </w:r>
      <w:proofErr w:type="spellStart"/>
      <w:r w:rsidR="00996911" w:rsidRPr="00335B99">
        <w:rPr>
          <w:rFonts w:ascii="Arial" w:eastAsia="Times New Roman" w:hAnsi="Arial" w:cs="Arial"/>
          <w:sz w:val="24"/>
          <w:szCs w:val="24"/>
        </w:rPr>
        <w:t>хамаагүй</w:t>
      </w:r>
      <w:proofErr w:type="spellEnd"/>
      <w:r w:rsidR="00996911" w:rsidRPr="00335B99">
        <w:rPr>
          <w:rFonts w:ascii="Arial" w:eastAsia="Times New Roman" w:hAnsi="Arial" w:cs="Arial"/>
          <w:sz w:val="24"/>
          <w:szCs w:val="24"/>
        </w:rPr>
        <w:t xml:space="preserve"> </w:t>
      </w:r>
      <w:proofErr w:type="spellStart"/>
      <w:r w:rsidR="00996911" w:rsidRPr="00335B99">
        <w:rPr>
          <w:rFonts w:ascii="Arial" w:eastAsia="Times New Roman" w:hAnsi="Arial" w:cs="Arial"/>
          <w:sz w:val="24"/>
          <w:szCs w:val="24"/>
        </w:rPr>
        <w:t>хүчилж</w:t>
      </w:r>
      <w:proofErr w:type="spellEnd"/>
      <w:r w:rsidR="00996911" w:rsidRPr="00335B99">
        <w:rPr>
          <w:rFonts w:ascii="Arial" w:eastAsia="Times New Roman" w:hAnsi="Arial" w:cs="Arial"/>
          <w:sz w:val="24"/>
          <w:szCs w:val="24"/>
        </w:rPr>
        <w:t xml:space="preserve"> </w:t>
      </w:r>
      <w:proofErr w:type="spellStart"/>
      <w:r w:rsidR="00996911" w:rsidRPr="00335B99">
        <w:rPr>
          <w:rFonts w:ascii="Arial" w:eastAsia="Times New Roman" w:hAnsi="Arial" w:cs="Arial"/>
          <w:sz w:val="24"/>
          <w:szCs w:val="24"/>
        </w:rPr>
        <w:t>болохгүй</w:t>
      </w:r>
      <w:proofErr w:type="spellEnd"/>
      <w:r w:rsidR="00996911" w:rsidRPr="00335B99">
        <w:rPr>
          <w:rFonts w:ascii="Arial" w:eastAsia="Times New Roman" w:hAnsi="Arial" w:cs="Arial"/>
          <w:sz w:val="24"/>
          <w:szCs w:val="24"/>
        </w:rPr>
        <w:t>.</w:t>
      </w:r>
      <w:proofErr w:type="gramEnd"/>
      <w:r w:rsidR="00996911">
        <w:rPr>
          <w:rFonts w:ascii="Arial" w:eastAsia="Times New Roman" w:hAnsi="Arial" w:cs="Arial"/>
          <w:sz w:val="24"/>
          <w:szCs w:val="24"/>
          <w:lang w:val="mn-MN"/>
        </w:rPr>
        <w:t xml:space="preserve"> </w:t>
      </w:r>
      <w:proofErr w:type="spellStart"/>
      <w:proofErr w:type="gramStart"/>
      <w:r w:rsidR="00996911" w:rsidRPr="00335B99">
        <w:rPr>
          <w:rFonts w:ascii="Arial" w:eastAsia="Times New Roman" w:hAnsi="Arial" w:cs="Arial"/>
          <w:sz w:val="24"/>
          <w:szCs w:val="24"/>
        </w:rPr>
        <w:t>Өөрөөр</w:t>
      </w:r>
      <w:proofErr w:type="spellEnd"/>
      <w:r w:rsidR="00996911" w:rsidRPr="00335B99">
        <w:rPr>
          <w:rFonts w:ascii="Arial" w:eastAsia="Times New Roman" w:hAnsi="Arial" w:cs="Arial"/>
          <w:sz w:val="24"/>
          <w:szCs w:val="24"/>
        </w:rPr>
        <w:t xml:space="preserve"> </w:t>
      </w:r>
      <w:proofErr w:type="spellStart"/>
      <w:r w:rsidR="00996911" w:rsidRPr="00335B99">
        <w:rPr>
          <w:rFonts w:ascii="Arial" w:eastAsia="Times New Roman" w:hAnsi="Arial" w:cs="Arial"/>
          <w:sz w:val="24"/>
          <w:szCs w:val="24"/>
        </w:rPr>
        <w:t>хэлбэл</w:t>
      </w:r>
      <w:proofErr w:type="spellEnd"/>
      <w:r w:rsidR="00996911" w:rsidRPr="00335B99">
        <w:rPr>
          <w:rFonts w:ascii="Arial" w:eastAsia="Times New Roman" w:hAnsi="Arial" w:cs="Arial"/>
          <w:sz w:val="24"/>
          <w:szCs w:val="24"/>
        </w:rPr>
        <w:t xml:space="preserve"> </w:t>
      </w:r>
      <w:proofErr w:type="spellStart"/>
      <w:r w:rsidR="00996911" w:rsidRPr="00335B99">
        <w:rPr>
          <w:rFonts w:ascii="Arial" w:eastAsia="Times New Roman" w:hAnsi="Arial" w:cs="Arial"/>
          <w:sz w:val="24"/>
          <w:szCs w:val="24"/>
        </w:rPr>
        <w:t>зөвхөн</w:t>
      </w:r>
      <w:proofErr w:type="spellEnd"/>
      <w:r w:rsidR="00996911" w:rsidRPr="00335B99">
        <w:rPr>
          <w:rFonts w:ascii="Arial" w:eastAsia="Times New Roman" w:hAnsi="Arial" w:cs="Arial"/>
          <w:sz w:val="24"/>
          <w:szCs w:val="24"/>
        </w:rPr>
        <w:t xml:space="preserve"> </w:t>
      </w:r>
      <w:proofErr w:type="spellStart"/>
      <w:r w:rsidR="00996911" w:rsidRPr="00335B99">
        <w:rPr>
          <w:rFonts w:ascii="Arial" w:eastAsia="Times New Roman" w:hAnsi="Arial" w:cs="Arial"/>
          <w:sz w:val="24"/>
          <w:szCs w:val="24"/>
        </w:rPr>
        <w:t>амьсгал</w:t>
      </w:r>
      <w:proofErr w:type="spellEnd"/>
      <w:r w:rsidR="00996911" w:rsidRPr="00335B99">
        <w:rPr>
          <w:rFonts w:ascii="Arial" w:eastAsia="Times New Roman" w:hAnsi="Arial" w:cs="Arial"/>
          <w:sz w:val="24"/>
          <w:szCs w:val="24"/>
        </w:rPr>
        <w:t xml:space="preserve"> </w:t>
      </w:r>
      <w:proofErr w:type="spellStart"/>
      <w:r w:rsidR="00996911" w:rsidRPr="00335B99">
        <w:rPr>
          <w:rFonts w:ascii="Arial" w:eastAsia="Times New Roman" w:hAnsi="Arial" w:cs="Arial"/>
          <w:sz w:val="24"/>
          <w:szCs w:val="24"/>
        </w:rPr>
        <w:t>гаргах</w:t>
      </w:r>
      <w:proofErr w:type="spellEnd"/>
      <w:r w:rsidR="00996911" w:rsidRPr="00335B99">
        <w:rPr>
          <w:rFonts w:ascii="Arial" w:eastAsia="Times New Roman" w:hAnsi="Arial" w:cs="Arial"/>
          <w:sz w:val="24"/>
          <w:szCs w:val="24"/>
        </w:rPr>
        <w:t xml:space="preserve"> </w:t>
      </w:r>
      <w:proofErr w:type="spellStart"/>
      <w:r w:rsidR="00996911" w:rsidRPr="00335B99">
        <w:rPr>
          <w:rFonts w:ascii="Arial" w:eastAsia="Times New Roman" w:hAnsi="Arial" w:cs="Arial"/>
          <w:sz w:val="24"/>
          <w:szCs w:val="24"/>
        </w:rPr>
        <w:t>хугацаагаар</w:t>
      </w:r>
      <w:proofErr w:type="spellEnd"/>
      <w:r w:rsidR="00996911" w:rsidRPr="00335B99">
        <w:rPr>
          <w:rFonts w:ascii="Arial" w:eastAsia="Times New Roman" w:hAnsi="Arial" w:cs="Arial"/>
          <w:sz w:val="24"/>
          <w:szCs w:val="24"/>
        </w:rPr>
        <w:t xml:space="preserve"> </w:t>
      </w:r>
      <w:proofErr w:type="spellStart"/>
      <w:r w:rsidR="00996911" w:rsidRPr="00335B99">
        <w:rPr>
          <w:rFonts w:ascii="Arial" w:eastAsia="Times New Roman" w:hAnsi="Arial" w:cs="Arial"/>
          <w:sz w:val="24"/>
          <w:szCs w:val="24"/>
        </w:rPr>
        <w:t>тэсвэржилтийн</w:t>
      </w:r>
      <w:proofErr w:type="spellEnd"/>
      <w:r w:rsidR="00996911" w:rsidRPr="00335B99">
        <w:rPr>
          <w:rFonts w:ascii="Arial" w:eastAsia="Times New Roman" w:hAnsi="Arial" w:cs="Arial"/>
          <w:sz w:val="24"/>
          <w:szCs w:val="24"/>
        </w:rPr>
        <w:t xml:space="preserve"> </w:t>
      </w:r>
      <w:proofErr w:type="spellStart"/>
      <w:r w:rsidR="00996911" w:rsidRPr="00335B99">
        <w:rPr>
          <w:rFonts w:ascii="Arial" w:eastAsia="Times New Roman" w:hAnsi="Arial" w:cs="Arial"/>
          <w:sz w:val="24"/>
          <w:szCs w:val="24"/>
        </w:rPr>
        <w:t>байдлыг</w:t>
      </w:r>
      <w:proofErr w:type="spellEnd"/>
      <w:r w:rsidR="00996911" w:rsidRPr="00335B99">
        <w:rPr>
          <w:rFonts w:ascii="Arial" w:eastAsia="Times New Roman" w:hAnsi="Arial" w:cs="Arial"/>
          <w:sz w:val="24"/>
          <w:szCs w:val="24"/>
        </w:rPr>
        <w:t xml:space="preserve"> </w:t>
      </w:r>
      <w:proofErr w:type="spellStart"/>
      <w:r w:rsidR="00996911" w:rsidRPr="00335B99">
        <w:rPr>
          <w:rFonts w:ascii="Arial" w:eastAsia="Times New Roman" w:hAnsi="Arial" w:cs="Arial"/>
          <w:sz w:val="24"/>
          <w:szCs w:val="24"/>
        </w:rPr>
        <w:t>тодорхойлно</w:t>
      </w:r>
      <w:proofErr w:type="spellEnd"/>
      <w:r w:rsidR="00996911" w:rsidRPr="00335B99">
        <w:rPr>
          <w:rFonts w:ascii="Arial" w:eastAsia="Times New Roman" w:hAnsi="Arial" w:cs="Arial"/>
          <w:sz w:val="24"/>
          <w:szCs w:val="24"/>
        </w:rPr>
        <w:t xml:space="preserve"> </w:t>
      </w:r>
      <w:proofErr w:type="spellStart"/>
      <w:r w:rsidR="00996911" w:rsidRPr="00335B99">
        <w:rPr>
          <w:rFonts w:ascii="Arial" w:eastAsia="Times New Roman" w:hAnsi="Arial" w:cs="Arial"/>
          <w:sz w:val="24"/>
          <w:szCs w:val="24"/>
        </w:rPr>
        <w:t>гэсэн</w:t>
      </w:r>
      <w:proofErr w:type="spellEnd"/>
      <w:r w:rsidR="00996911" w:rsidRPr="00335B99">
        <w:rPr>
          <w:rFonts w:ascii="Arial" w:eastAsia="Times New Roman" w:hAnsi="Arial" w:cs="Arial"/>
          <w:sz w:val="24"/>
          <w:szCs w:val="24"/>
        </w:rPr>
        <w:t xml:space="preserve"> </w:t>
      </w:r>
      <w:proofErr w:type="spellStart"/>
      <w:r w:rsidR="00996911" w:rsidRPr="00335B99">
        <w:rPr>
          <w:rFonts w:ascii="Arial" w:eastAsia="Times New Roman" w:hAnsi="Arial" w:cs="Arial"/>
          <w:sz w:val="24"/>
          <w:szCs w:val="24"/>
        </w:rPr>
        <w:t>үг</w:t>
      </w:r>
      <w:proofErr w:type="spellEnd"/>
      <w:r w:rsidR="00996911" w:rsidRPr="00335B99">
        <w:rPr>
          <w:rFonts w:ascii="Arial" w:eastAsia="Times New Roman" w:hAnsi="Arial" w:cs="Arial"/>
          <w:sz w:val="24"/>
          <w:szCs w:val="24"/>
        </w:rPr>
        <w:t>.</w:t>
      </w:r>
      <w:proofErr w:type="gramEnd"/>
    </w:p>
    <w:p w:rsidR="00E350B7" w:rsidRPr="00E350B7" w:rsidRDefault="00E350B7" w:rsidP="00996911">
      <w:pPr>
        <w:spacing w:before="100" w:beforeAutospacing="1" w:after="100" w:afterAutospacing="1" w:line="360" w:lineRule="auto"/>
        <w:ind w:firstLine="714"/>
        <w:jc w:val="both"/>
        <w:rPr>
          <w:rFonts w:ascii="Arial" w:eastAsia="Times New Roman" w:hAnsi="Arial" w:cs="Arial"/>
          <w:b/>
          <w:sz w:val="24"/>
          <w:szCs w:val="24"/>
          <w:lang w:val="mn-MN"/>
        </w:rPr>
      </w:pPr>
      <w:r w:rsidRPr="00E350B7">
        <w:rPr>
          <w:rFonts w:ascii="Arial" w:eastAsia="Times New Roman" w:hAnsi="Arial" w:cs="Arial"/>
          <w:b/>
          <w:sz w:val="24"/>
          <w:szCs w:val="24"/>
          <w:lang w:val="mn-MN"/>
        </w:rPr>
        <w:t>Оюутны тоо</w:t>
      </w:r>
      <w:r w:rsidRPr="00E350B7">
        <w:rPr>
          <w:rFonts w:ascii="Arial" w:eastAsia="Times New Roman" w:hAnsi="Arial" w:cs="Arial"/>
          <w:b/>
          <w:sz w:val="24"/>
          <w:szCs w:val="24"/>
          <w:lang w:val="mn-MN"/>
        </w:rPr>
        <w:tab/>
      </w:r>
      <w:r w:rsidRPr="00E350B7">
        <w:rPr>
          <w:rFonts w:ascii="Arial" w:eastAsia="Times New Roman" w:hAnsi="Arial" w:cs="Arial"/>
          <w:b/>
          <w:sz w:val="24"/>
          <w:szCs w:val="24"/>
          <w:lang w:val="mn-MN"/>
        </w:rPr>
        <w:tab/>
      </w:r>
      <w:r w:rsidRPr="00E350B7">
        <w:rPr>
          <w:rFonts w:ascii="Arial" w:eastAsia="Times New Roman" w:hAnsi="Arial" w:cs="Arial"/>
          <w:b/>
          <w:sz w:val="24"/>
          <w:szCs w:val="24"/>
          <w:lang w:val="mn-MN"/>
        </w:rPr>
        <w:tab/>
      </w:r>
      <w:r w:rsidRPr="00E350B7">
        <w:rPr>
          <w:rFonts w:ascii="Arial" w:eastAsia="Times New Roman" w:hAnsi="Arial" w:cs="Arial"/>
          <w:b/>
          <w:sz w:val="24"/>
          <w:szCs w:val="24"/>
          <w:lang w:val="mn-MN"/>
        </w:rPr>
        <w:tab/>
      </w:r>
      <w:r w:rsidRPr="00E350B7">
        <w:rPr>
          <w:rFonts w:ascii="Arial" w:eastAsia="Times New Roman" w:hAnsi="Arial" w:cs="Arial"/>
          <w:b/>
          <w:sz w:val="24"/>
          <w:szCs w:val="24"/>
          <w:lang w:val="mn-MN"/>
        </w:rPr>
        <w:tab/>
      </w:r>
      <w:r w:rsidRPr="00E350B7">
        <w:rPr>
          <w:rFonts w:ascii="Arial" w:eastAsia="Times New Roman" w:hAnsi="Arial" w:cs="Arial"/>
          <w:b/>
          <w:sz w:val="24"/>
          <w:szCs w:val="24"/>
          <w:lang w:val="mn-MN"/>
        </w:rPr>
        <w:tab/>
      </w:r>
      <w:r w:rsidRPr="00E350B7">
        <w:rPr>
          <w:rFonts w:ascii="Arial" w:eastAsia="Times New Roman" w:hAnsi="Arial" w:cs="Arial"/>
          <w:b/>
          <w:sz w:val="24"/>
          <w:szCs w:val="24"/>
          <w:lang w:val="mn-MN"/>
        </w:rPr>
        <w:tab/>
      </w:r>
      <w:r w:rsidRPr="00E350B7">
        <w:rPr>
          <w:rFonts w:ascii="Arial" w:eastAsia="Times New Roman" w:hAnsi="Arial" w:cs="Arial"/>
          <w:b/>
          <w:sz w:val="24"/>
          <w:szCs w:val="24"/>
          <w:lang w:val="mn-MN"/>
        </w:rPr>
        <w:tab/>
        <w:t xml:space="preserve">Хүснэгт </w:t>
      </w:r>
      <w:r w:rsidR="001B180D">
        <w:rPr>
          <w:rFonts w:ascii="Arial" w:eastAsia="Times New Roman" w:hAnsi="Arial" w:cs="Arial"/>
          <w:b/>
          <w:sz w:val="24"/>
          <w:szCs w:val="24"/>
          <w:lang w:val="mn-MN"/>
        </w:rPr>
        <w:t>1</w:t>
      </w:r>
    </w:p>
    <w:tbl>
      <w:tblPr>
        <w:tblStyle w:val="TableGrid"/>
        <w:tblW w:w="0" w:type="auto"/>
        <w:tblInd w:w="250" w:type="dxa"/>
        <w:tblLook w:val="04A0"/>
      </w:tblPr>
      <w:tblGrid>
        <w:gridCol w:w="2144"/>
        <w:gridCol w:w="2394"/>
        <w:gridCol w:w="2394"/>
        <w:gridCol w:w="2394"/>
      </w:tblGrid>
      <w:tr w:rsidR="00E350B7" w:rsidRPr="00131DA9" w:rsidTr="004D1049">
        <w:tc>
          <w:tcPr>
            <w:tcW w:w="2144" w:type="dxa"/>
          </w:tcPr>
          <w:p w:rsidR="00E350B7" w:rsidRPr="00131DA9" w:rsidRDefault="00E350B7" w:rsidP="004D1049">
            <w:pPr>
              <w:spacing w:line="360" w:lineRule="auto"/>
              <w:jc w:val="center"/>
              <w:rPr>
                <w:rFonts w:ascii="Arial" w:hAnsi="Arial" w:cs="Arial"/>
                <w:b/>
                <w:sz w:val="24"/>
                <w:szCs w:val="24"/>
                <w:lang w:val="mn-MN"/>
              </w:rPr>
            </w:pPr>
          </w:p>
        </w:tc>
        <w:tc>
          <w:tcPr>
            <w:tcW w:w="2394" w:type="dxa"/>
          </w:tcPr>
          <w:p w:rsidR="00E350B7" w:rsidRPr="00131DA9" w:rsidRDefault="00E350B7" w:rsidP="004D1049">
            <w:pPr>
              <w:spacing w:line="360" w:lineRule="auto"/>
              <w:jc w:val="center"/>
              <w:rPr>
                <w:rFonts w:ascii="Arial" w:hAnsi="Arial" w:cs="Arial"/>
                <w:b/>
                <w:sz w:val="24"/>
                <w:szCs w:val="24"/>
                <w:lang w:val="mn-MN"/>
              </w:rPr>
            </w:pPr>
            <w:r w:rsidRPr="00131DA9">
              <w:rPr>
                <w:rFonts w:ascii="Arial" w:hAnsi="Arial" w:cs="Arial"/>
                <w:b/>
                <w:sz w:val="24"/>
                <w:szCs w:val="24"/>
                <w:lang w:val="mn-MN"/>
              </w:rPr>
              <w:t>2010</w:t>
            </w:r>
          </w:p>
        </w:tc>
        <w:tc>
          <w:tcPr>
            <w:tcW w:w="2394" w:type="dxa"/>
          </w:tcPr>
          <w:p w:rsidR="00E350B7" w:rsidRPr="00131DA9" w:rsidRDefault="00E350B7" w:rsidP="004D1049">
            <w:pPr>
              <w:spacing w:line="360" w:lineRule="auto"/>
              <w:jc w:val="center"/>
              <w:rPr>
                <w:rFonts w:ascii="Arial" w:hAnsi="Arial" w:cs="Arial"/>
                <w:b/>
                <w:sz w:val="24"/>
                <w:szCs w:val="24"/>
                <w:lang w:val="mn-MN"/>
              </w:rPr>
            </w:pPr>
            <w:r w:rsidRPr="00131DA9">
              <w:rPr>
                <w:rFonts w:ascii="Arial" w:hAnsi="Arial" w:cs="Arial"/>
                <w:b/>
                <w:sz w:val="24"/>
                <w:szCs w:val="24"/>
                <w:lang w:val="mn-MN"/>
              </w:rPr>
              <w:t>2011</w:t>
            </w:r>
          </w:p>
        </w:tc>
        <w:tc>
          <w:tcPr>
            <w:tcW w:w="2394" w:type="dxa"/>
          </w:tcPr>
          <w:p w:rsidR="00E350B7" w:rsidRPr="00131DA9" w:rsidRDefault="00E350B7" w:rsidP="004D1049">
            <w:pPr>
              <w:spacing w:line="360" w:lineRule="auto"/>
              <w:jc w:val="center"/>
              <w:rPr>
                <w:rFonts w:ascii="Arial" w:hAnsi="Arial" w:cs="Arial"/>
                <w:b/>
                <w:sz w:val="24"/>
                <w:szCs w:val="24"/>
                <w:lang w:val="mn-MN"/>
              </w:rPr>
            </w:pPr>
            <w:r w:rsidRPr="00131DA9">
              <w:rPr>
                <w:rFonts w:ascii="Arial" w:hAnsi="Arial" w:cs="Arial"/>
                <w:b/>
                <w:sz w:val="24"/>
                <w:szCs w:val="24"/>
                <w:lang w:val="mn-MN"/>
              </w:rPr>
              <w:t>2012</w:t>
            </w:r>
          </w:p>
        </w:tc>
      </w:tr>
      <w:tr w:rsidR="00E350B7" w:rsidRPr="00131DA9" w:rsidTr="004D1049">
        <w:tc>
          <w:tcPr>
            <w:tcW w:w="2144" w:type="dxa"/>
          </w:tcPr>
          <w:p w:rsidR="00E350B7" w:rsidRPr="00131DA9" w:rsidRDefault="00E350B7" w:rsidP="004D1049">
            <w:pPr>
              <w:spacing w:line="360" w:lineRule="auto"/>
              <w:jc w:val="both"/>
              <w:rPr>
                <w:rFonts w:ascii="Arial" w:hAnsi="Arial" w:cs="Arial"/>
                <w:b/>
                <w:sz w:val="24"/>
                <w:szCs w:val="24"/>
                <w:lang w:val="mn-MN"/>
              </w:rPr>
            </w:pPr>
            <w:r w:rsidRPr="00131DA9">
              <w:rPr>
                <w:rFonts w:ascii="Arial" w:hAnsi="Arial" w:cs="Arial"/>
                <w:b/>
                <w:sz w:val="24"/>
                <w:szCs w:val="24"/>
                <w:lang w:val="mn-MN"/>
              </w:rPr>
              <w:t>Эр</w:t>
            </w:r>
          </w:p>
        </w:tc>
        <w:tc>
          <w:tcPr>
            <w:tcW w:w="2394" w:type="dxa"/>
          </w:tcPr>
          <w:p w:rsidR="00E350B7" w:rsidRPr="00131DA9" w:rsidRDefault="00E350B7" w:rsidP="004D1049">
            <w:pPr>
              <w:spacing w:line="360" w:lineRule="auto"/>
              <w:jc w:val="center"/>
              <w:rPr>
                <w:rFonts w:ascii="Arial" w:hAnsi="Arial" w:cs="Arial"/>
                <w:sz w:val="24"/>
                <w:szCs w:val="24"/>
                <w:lang w:val="mn-MN"/>
              </w:rPr>
            </w:pPr>
            <w:r>
              <w:rPr>
                <w:rFonts w:ascii="Arial" w:hAnsi="Arial" w:cs="Arial"/>
                <w:sz w:val="24"/>
                <w:szCs w:val="24"/>
                <w:lang w:val="mn-MN"/>
              </w:rPr>
              <w:t>311</w:t>
            </w:r>
          </w:p>
        </w:tc>
        <w:tc>
          <w:tcPr>
            <w:tcW w:w="2394" w:type="dxa"/>
          </w:tcPr>
          <w:p w:rsidR="00E350B7" w:rsidRPr="00131DA9" w:rsidRDefault="00E350B7" w:rsidP="004D1049">
            <w:pPr>
              <w:spacing w:line="360" w:lineRule="auto"/>
              <w:jc w:val="center"/>
              <w:rPr>
                <w:rFonts w:ascii="Arial" w:hAnsi="Arial" w:cs="Arial"/>
                <w:sz w:val="24"/>
                <w:szCs w:val="24"/>
                <w:lang w:val="mn-MN"/>
              </w:rPr>
            </w:pPr>
            <w:r>
              <w:rPr>
                <w:rFonts w:ascii="Arial" w:hAnsi="Arial" w:cs="Arial"/>
                <w:sz w:val="24"/>
                <w:szCs w:val="24"/>
                <w:lang w:val="mn-MN"/>
              </w:rPr>
              <w:t>280</w:t>
            </w:r>
          </w:p>
        </w:tc>
        <w:tc>
          <w:tcPr>
            <w:tcW w:w="2394" w:type="dxa"/>
          </w:tcPr>
          <w:p w:rsidR="00E350B7" w:rsidRPr="00131DA9" w:rsidRDefault="00E350B7" w:rsidP="004D1049">
            <w:pPr>
              <w:spacing w:line="360" w:lineRule="auto"/>
              <w:jc w:val="center"/>
              <w:rPr>
                <w:rFonts w:ascii="Arial" w:hAnsi="Arial" w:cs="Arial"/>
                <w:sz w:val="24"/>
                <w:szCs w:val="24"/>
                <w:lang w:val="mn-MN"/>
              </w:rPr>
            </w:pPr>
            <w:r>
              <w:rPr>
                <w:rFonts w:ascii="Arial" w:hAnsi="Arial" w:cs="Arial"/>
                <w:sz w:val="24"/>
                <w:szCs w:val="24"/>
                <w:lang w:val="mn-MN"/>
              </w:rPr>
              <w:t>346</w:t>
            </w:r>
          </w:p>
        </w:tc>
      </w:tr>
      <w:tr w:rsidR="00E350B7" w:rsidRPr="00131DA9" w:rsidTr="004D1049">
        <w:tc>
          <w:tcPr>
            <w:tcW w:w="2144" w:type="dxa"/>
          </w:tcPr>
          <w:p w:rsidR="00E350B7" w:rsidRPr="00131DA9" w:rsidRDefault="00E350B7" w:rsidP="004D1049">
            <w:pPr>
              <w:spacing w:line="360" w:lineRule="auto"/>
              <w:jc w:val="both"/>
              <w:rPr>
                <w:rFonts w:ascii="Arial" w:hAnsi="Arial" w:cs="Arial"/>
                <w:b/>
                <w:sz w:val="24"/>
                <w:szCs w:val="24"/>
                <w:lang w:val="mn-MN"/>
              </w:rPr>
            </w:pPr>
            <w:r w:rsidRPr="00131DA9">
              <w:rPr>
                <w:rFonts w:ascii="Arial" w:hAnsi="Arial" w:cs="Arial"/>
                <w:b/>
                <w:sz w:val="24"/>
                <w:szCs w:val="24"/>
                <w:lang w:val="mn-MN"/>
              </w:rPr>
              <w:t>Эм</w:t>
            </w:r>
          </w:p>
        </w:tc>
        <w:tc>
          <w:tcPr>
            <w:tcW w:w="2394" w:type="dxa"/>
          </w:tcPr>
          <w:p w:rsidR="00E350B7" w:rsidRPr="00131DA9" w:rsidRDefault="00E350B7" w:rsidP="004D1049">
            <w:pPr>
              <w:spacing w:line="360" w:lineRule="auto"/>
              <w:jc w:val="center"/>
              <w:rPr>
                <w:rFonts w:ascii="Arial" w:hAnsi="Arial" w:cs="Arial"/>
                <w:sz w:val="24"/>
                <w:szCs w:val="24"/>
                <w:lang w:val="mn-MN"/>
              </w:rPr>
            </w:pPr>
            <w:r>
              <w:rPr>
                <w:rFonts w:ascii="Arial" w:hAnsi="Arial" w:cs="Arial"/>
                <w:sz w:val="24"/>
                <w:szCs w:val="24"/>
                <w:lang w:val="mn-MN"/>
              </w:rPr>
              <w:t>1054</w:t>
            </w:r>
          </w:p>
        </w:tc>
        <w:tc>
          <w:tcPr>
            <w:tcW w:w="2394" w:type="dxa"/>
          </w:tcPr>
          <w:p w:rsidR="00E350B7" w:rsidRPr="00131DA9" w:rsidRDefault="00E350B7" w:rsidP="004D1049">
            <w:pPr>
              <w:spacing w:line="360" w:lineRule="auto"/>
              <w:jc w:val="center"/>
              <w:rPr>
                <w:rFonts w:ascii="Arial" w:hAnsi="Arial" w:cs="Arial"/>
                <w:sz w:val="24"/>
                <w:szCs w:val="24"/>
                <w:lang w:val="mn-MN"/>
              </w:rPr>
            </w:pPr>
            <w:r>
              <w:rPr>
                <w:rFonts w:ascii="Arial" w:hAnsi="Arial" w:cs="Arial"/>
                <w:sz w:val="24"/>
                <w:szCs w:val="24"/>
                <w:lang w:val="mn-MN"/>
              </w:rPr>
              <w:t>1029</w:t>
            </w:r>
          </w:p>
        </w:tc>
        <w:tc>
          <w:tcPr>
            <w:tcW w:w="2394" w:type="dxa"/>
          </w:tcPr>
          <w:p w:rsidR="00E350B7" w:rsidRPr="00131DA9" w:rsidRDefault="00E350B7" w:rsidP="004D1049">
            <w:pPr>
              <w:spacing w:line="360" w:lineRule="auto"/>
              <w:jc w:val="center"/>
              <w:rPr>
                <w:rFonts w:ascii="Arial" w:hAnsi="Arial" w:cs="Arial"/>
                <w:sz w:val="24"/>
                <w:szCs w:val="24"/>
                <w:lang w:val="mn-MN"/>
              </w:rPr>
            </w:pPr>
            <w:r>
              <w:rPr>
                <w:rFonts w:ascii="Arial" w:hAnsi="Arial" w:cs="Arial"/>
                <w:sz w:val="24"/>
                <w:szCs w:val="24"/>
                <w:lang w:val="mn-MN"/>
              </w:rPr>
              <w:t>1144</w:t>
            </w:r>
          </w:p>
        </w:tc>
      </w:tr>
    </w:tbl>
    <w:p w:rsidR="00E350B7" w:rsidRDefault="0064057D" w:rsidP="00996911">
      <w:pPr>
        <w:spacing w:before="100" w:beforeAutospacing="1" w:after="100" w:afterAutospacing="1" w:line="360" w:lineRule="auto"/>
        <w:ind w:firstLine="714"/>
        <w:jc w:val="both"/>
        <w:rPr>
          <w:rFonts w:ascii="Arial" w:eastAsia="Times New Roman" w:hAnsi="Arial" w:cs="Arial"/>
          <w:sz w:val="24"/>
          <w:szCs w:val="24"/>
        </w:rPr>
      </w:pPr>
      <w:r w:rsidRPr="0064057D">
        <w:rPr>
          <w:rFonts w:ascii="Arial" w:eastAsia="Times New Roman" w:hAnsi="Arial" w:cs="Arial"/>
          <w:sz w:val="24"/>
          <w:szCs w:val="24"/>
        </w:rPr>
        <w:drawing>
          <wp:inline distT="0" distB="0" distL="0" distR="0">
            <wp:extent cx="5438709" cy="3206337"/>
            <wp:effectExtent l="19050" t="0" r="9591" b="0"/>
            <wp:docPr id="6"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EE1108" w:rsidRDefault="00EE1108" w:rsidP="00996911">
      <w:pPr>
        <w:spacing w:before="100" w:beforeAutospacing="1" w:after="100" w:afterAutospacing="1" w:line="360" w:lineRule="auto"/>
        <w:ind w:firstLine="714"/>
        <w:jc w:val="both"/>
        <w:rPr>
          <w:rFonts w:ascii="Arial" w:eastAsia="Times New Roman" w:hAnsi="Arial" w:cs="Arial"/>
          <w:sz w:val="24"/>
          <w:szCs w:val="24"/>
          <w:lang w:val="mn-MN"/>
        </w:rPr>
      </w:pPr>
      <w:r>
        <w:rPr>
          <w:rFonts w:ascii="Arial" w:eastAsia="Times New Roman" w:hAnsi="Arial" w:cs="Arial"/>
          <w:sz w:val="24"/>
          <w:szCs w:val="24"/>
          <w:lang w:val="mn-MN"/>
        </w:rPr>
        <w:t xml:space="preserve">Судалгаанд 2010 онд нийт 1365 оюутнаас эрэгтэй 311, эмэгтэй 1054 оюутан оролцсон бол 2011 онд нийт 1309 оюутнаас эрэгтэй 280, эмэгтэй 1029 оюутнууд </w:t>
      </w:r>
      <w:r>
        <w:rPr>
          <w:rFonts w:ascii="Arial" w:eastAsia="Times New Roman" w:hAnsi="Arial" w:cs="Arial"/>
          <w:sz w:val="24"/>
          <w:szCs w:val="24"/>
          <w:lang w:val="mn-MN"/>
        </w:rPr>
        <w:lastRenderedPageBreak/>
        <w:t>хамрагджээ. Харин 2012 онд нийт 1490 оюутан оролцсоноос эрэгтэй 346, эмэгтэй 1144 оюутан хамрагдлаа.</w:t>
      </w:r>
    </w:p>
    <w:p w:rsidR="001B180D" w:rsidRPr="00E350B7" w:rsidRDefault="001B180D" w:rsidP="001B180D">
      <w:pPr>
        <w:spacing w:before="100" w:beforeAutospacing="1" w:after="100" w:afterAutospacing="1" w:line="360" w:lineRule="auto"/>
        <w:ind w:firstLine="714"/>
        <w:jc w:val="both"/>
        <w:rPr>
          <w:rFonts w:ascii="Arial" w:eastAsia="Times New Roman" w:hAnsi="Arial" w:cs="Arial"/>
          <w:b/>
          <w:sz w:val="24"/>
          <w:szCs w:val="24"/>
          <w:lang w:val="mn-MN"/>
        </w:rPr>
      </w:pPr>
      <w:r w:rsidRPr="00E350B7">
        <w:rPr>
          <w:rFonts w:ascii="Arial" w:eastAsia="Times New Roman" w:hAnsi="Arial" w:cs="Arial"/>
          <w:b/>
          <w:sz w:val="24"/>
          <w:szCs w:val="24"/>
          <w:lang w:val="mn-MN"/>
        </w:rPr>
        <w:t>Тэсвэрийн чанарын үзүүлэлт</w:t>
      </w:r>
      <w:r>
        <w:rPr>
          <w:rFonts w:ascii="Arial" w:eastAsia="Times New Roman" w:hAnsi="Arial" w:cs="Arial"/>
          <w:b/>
          <w:sz w:val="24"/>
          <w:szCs w:val="24"/>
          <w:lang w:val="mn-MN"/>
        </w:rPr>
        <w:tab/>
      </w:r>
      <w:r>
        <w:rPr>
          <w:rFonts w:ascii="Arial" w:eastAsia="Times New Roman" w:hAnsi="Arial" w:cs="Arial"/>
          <w:b/>
          <w:sz w:val="24"/>
          <w:szCs w:val="24"/>
          <w:lang w:val="mn-MN"/>
        </w:rPr>
        <w:tab/>
      </w:r>
      <w:r>
        <w:rPr>
          <w:rFonts w:ascii="Arial" w:eastAsia="Times New Roman" w:hAnsi="Arial" w:cs="Arial"/>
          <w:b/>
          <w:sz w:val="24"/>
          <w:szCs w:val="24"/>
          <w:lang w:val="mn-MN"/>
        </w:rPr>
        <w:tab/>
      </w:r>
      <w:r>
        <w:rPr>
          <w:rFonts w:ascii="Arial" w:eastAsia="Times New Roman" w:hAnsi="Arial" w:cs="Arial"/>
          <w:b/>
          <w:sz w:val="24"/>
          <w:szCs w:val="24"/>
          <w:lang w:val="mn-MN"/>
        </w:rPr>
        <w:tab/>
      </w:r>
      <w:r>
        <w:rPr>
          <w:rFonts w:ascii="Arial" w:eastAsia="Times New Roman" w:hAnsi="Arial" w:cs="Arial"/>
          <w:b/>
          <w:sz w:val="24"/>
          <w:szCs w:val="24"/>
          <w:lang w:val="mn-MN"/>
        </w:rPr>
        <w:tab/>
      </w:r>
      <w:r>
        <w:rPr>
          <w:rFonts w:ascii="Arial" w:eastAsia="Times New Roman" w:hAnsi="Arial" w:cs="Arial"/>
          <w:b/>
          <w:sz w:val="24"/>
          <w:szCs w:val="24"/>
          <w:lang w:val="mn-MN"/>
        </w:rPr>
        <w:tab/>
      </w:r>
      <w:r w:rsidRPr="00E350B7">
        <w:rPr>
          <w:rFonts w:ascii="Arial" w:eastAsia="Times New Roman" w:hAnsi="Arial" w:cs="Arial"/>
          <w:b/>
          <w:sz w:val="24"/>
          <w:szCs w:val="24"/>
          <w:lang w:val="mn-MN"/>
        </w:rPr>
        <w:t xml:space="preserve"> Хүснэгт </w:t>
      </w:r>
      <w:r>
        <w:rPr>
          <w:rFonts w:ascii="Arial" w:eastAsia="Times New Roman" w:hAnsi="Arial" w:cs="Arial"/>
          <w:b/>
          <w:sz w:val="24"/>
          <w:szCs w:val="24"/>
          <w:lang w:val="mn-MN"/>
        </w:rPr>
        <w:t>2</w:t>
      </w:r>
    </w:p>
    <w:tbl>
      <w:tblPr>
        <w:tblStyle w:val="TableGrid"/>
        <w:tblW w:w="0" w:type="auto"/>
        <w:tblInd w:w="250" w:type="dxa"/>
        <w:tblLook w:val="04A0"/>
      </w:tblPr>
      <w:tblGrid>
        <w:gridCol w:w="2144"/>
        <w:gridCol w:w="2394"/>
        <w:gridCol w:w="2394"/>
        <w:gridCol w:w="2394"/>
      </w:tblGrid>
      <w:tr w:rsidR="001B180D" w:rsidRPr="00131DA9" w:rsidTr="004D1049">
        <w:tc>
          <w:tcPr>
            <w:tcW w:w="2144" w:type="dxa"/>
          </w:tcPr>
          <w:p w:rsidR="001B180D" w:rsidRPr="00131DA9" w:rsidRDefault="001B180D" w:rsidP="004D1049">
            <w:pPr>
              <w:spacing w:line="360" w:lineRule="auto"/>
              <w:jc w:val="center"/>
              <w:rPr>
                <w:rFonts w:ascii="Arial" w:hAnsi="Arial" w:cs="Arial"/>
                <w:b/>
                <w:sz w:val="24"/>
                <w:szCs w:val="24"/>
                <w:lang w:val="mn-MN"/>
              </w:rPr>
            </w:pPr>
          </w:p>
        </w:tc>
        <w:tc>
          <w:tcPr>
            <w:tcW w:w="2394" w:type="dxa"/>
          </w:tcPr>
          <w:p w:rsidR="001B180D" w:rsidRPr="00131DA9" w:rsidRDefault="001B180D" w:rsidP="004D1049">
            <w:pPr>
              <w:spacing w:line="360" w:lineRule="auto"/>
              <w:jc w:val="center"/>
              <w:rPr>
                <w:rFonts w:ascii="Arial" w:hAnsi="Arial" w:cs="Arial"/>
                <w:b/>
                <w:sz w:val="24"/>
                <w:szCs w:val="24"/>
                <w:lang w:val="mn-MN"/>
              </w:rPr>
            </w:pPr>
            <w:r w:rsidRPr="00131DA9">
              <w:rPr>
                <w:rFonts w:ascii="Arial" w:hAnsi="Arial" w:cs="Arial"/>
                <w:b/>
                <w:sz w:val="24"/>
                <w:szCs w:val="24"/>
                <w:lang w:val="mn-MN"/>
              </w:rPr>
              <w:t>2010</w:t>
            </w:r>
          </w:p>
        </w:tc>
        <w:tc>
          <w:tcPr>
            <w:tcW w:w="2394" w:type="dxa"/>
          </w:tcPr>
          <w:p w:rsidR="001B180D" w:rsidRPr="00131DA9" w:rsidRDefault="001B180D" w:rsidP="004D1049">
            <w:pPr>
              <w:spacing w:line="360" w:lineRule="auto"/>
              <w:jc w:val="center"/>
              <w:rPr>
                <w:rFonts w:ascii="Arial" w:hAnsi="Arial" w:cs="Arial"/>
                <w:b/>
                <w:sz w:val="24"/>
                <w:szCs w:val="24"/>
                <w:lang w:val="mn-MN"/>
              </w:rPr>
            </w:pPr>
            <w:r w:rsidRPr="00131DA9">
              <w:rPr>
                <w:rFonts w:ascii="Arial" w:hAnsi="Arial" w:cs="Arial"/>
                <w:b/>
                <w:sz w:val="24"/>
                <w:szCs w:val="24"/>
                <w:lang w:val="mn-MN"/>
              </w:rPr>
              <w:t>2011</w:t>
            </w:r>
          </w:p>
        </w:tc>
        <w:tc>
          <w:tcPr>
            <w:tcW w:w="2394" w:type="dxa"/>
          </w:tcPr>
          <w:p w:rsidR="001B180D" w:rsidRPr="00131DA9" w:rsidRDefault="001B180D" w:rsidP="004D1049">
            <w:pPr>
              <w:spacing w:line="360" w:lineRule="auto"/>
              <w:jc w:val="center"/>
              <w:rPr>
                <w:rFonts w:ascii="Arial" w:hAnsi="Arial" w:cs="Arial"/>
                <w:b/>
                <w:sz w:val="24"/>
                <w:szCs w:val="24"/>
                <w:lang w:val="mn-MN"/>
              </w:rPr>
            </w:pPr>
            <w:r w:rsidRPr="00131DA9">
              <w:rPr>
                <w:rFonts w:ascii="Arial" w:hAnsi="Arial" w:cs="Arial"/>
                <w:b/>
                <w:sz w:val="24"/>
                <w:szCs w:val="24"/>
                <w:lang w:val="mn-MN"/>
              </w:rPr>
              <w:t>2012</w:t>
            </w:r>
          </w:p>
        </w:tc>
      </w:tr>
      <w:tr w:rsidR="001B180D" w:rsidRPr="00131DA9" w:rsidTr="004D1049">
        <w:tc>
          <w:tcPr>
            <w:tcW w:w="2144" w:type="dxa"/>
          </w:tcPr>
          <w:p w:rsidR="001B180D" w:rsidRPr="00131DA9" w:rsidRDefault="001B180D" w:rsidP="004D1049">
            <w:pPr>
              <w:spacing w:line="360" w:lineRule="auto"/>
              <w:jc w:val="both"/>
              <w:rPr>
                <w:rFonts w:ascii="Arial" w:hAnsi="Arial" w:cs="Arial"/>
                <w:b/>
                <w:sz w:val="24"/>
                <w:szCs w:val="24"/>
                <w:lang w:val="mn-MN"/>
              </w:rPr>
            </w:pPr>
            <w:r w:rsidRPr="00131DA9">
              <w:rPr>
                <w:rFonts w:ascii="Arial" w:hAnsi="Arial" w:cs="Arial"/>
                <w:b/>
                <w:sz w:val="24"/>
                <w:szCs w:val="24"/>
                <w:lang w:val="mn-MN"/>
              </w:rPr>
              <w:t>Эр</w:t>
            </w:r>
          </w:p>
        </w:tc>
        <w:tc>
          <w:tcPr>
            <w:tcW w:w="2394" w:type="dxa"/>
          </w:tcPr>
          <w:p w:rsidR="001B180D" w:rsidRPr="00131DA9" w:rsidRDefault="001B180D" w:rsidP="004D1049">
            <w:pPr>
              <w:spacing w:line="360" w:lineRule="auto"/>
              <w:jc w:val="center"/>
              <w:rPr>
                <w:rFonts w:ascii="Arial" w:hAnsi="Arial" w:cs="Arial"/>
                <w:sz w:val="24"/>
                <w:szCs w:val="24"/>
                <w:lang w:val="mn-MN"/>
              </w:rPr>
            </w:pPr>
            <w:r>
              <w:rPr>
                <w:rFonts w:ascii="Arial" w:hAnsi="Arial" w:cs="Arial"/>
                <w:sz w:val="24"/>
                <w:szCs w:val="24"/>
                <w:lang w:val="mn-MN"/>
              </w:rPr>
              <w:t>1,71 м/с</w:t>
            </w:r>
          </w:p>
        </w:tc>
        <w:tc>
          <w:tcPr>
            <w:tcW w:w="2394" w:type="dxa"/>
          </w:tcPr>
          <w:p w:rsidR="001B180D" w:rsidRPr="00131DA9" w:rsidRDefault="001B180D" w:rsidP="004D1049">
            <w:pPr>
              <w:spacing w:line="360" w:lineRule="auto"/>
              <w:jc w:val="center"/>
              <w:rPr>
                <w:rFonts w:ascii="Arial" w:hAnsi="Arial" w:cs="Arial"/>
                <w:sz w:val="24"/>
                <w:szCs w:val="24"/>
                <w:lang w:val="mn-MN"/>
              </w:rPr>
            </w:pPr>
            <w:r>
              <w:rPr>
                <w:rFonts w:ascii="Arial" w:hAnsi="Arial" w:cs="Arial"/>
                <w:sz w:val="24"/>
                <w:szCs w:val="24"/>
                <w:lang w:val="mn-MN"/>
              </w:rPr>
              <w:t>1,91 м/с</w:t>
            </w:r>
          </w:p>
        </w:tc>
        <w:tc>
          <w:tcPr>
            <w:tcW w:w="2394" w:type="dxa"/>
          </w:tcPr>
          <w:p w:rsidR="001B180D" w:rsidRPr="00131DA9" w:rsidRDefault="001B180D" w:rsidP="004D1049">
            <w:pPr>
              <w:spacing w:line="360" w:lineRule="auto"/>
              <w:jc w:val="center"/>
              <w:rPr>
                <w:rFonts w:ascii="Arial" w:hAnsi="Arial" w:cs="Arial"/>
                <w:sz w:val="24"/>
                <w:szCs w:val="24"/>
                <w:lang w:val="mn-MN"/>
              </w:rPr>
            </w:pPr>
            <w:r>
              <w:rPr>
                <w:rFonts w:ascii="Arial" w:hAnsi="Arial" w:cs="Arial"/>
                <w:sz w:val="24"/>
                <w:szCs w:val="24"/>
                <w:lang w:val="mn-MN"/>
              </w:rPr>
              <w:t>2,23 м/с</w:t>
            </w:r>
          </w:p>
        </w:tc>
      </w:tr>
      <w:tr w:rsidR="001B180D" w:rsidRPr="00131DA9" w:rsidTr="004D1049">
        <w:tc>
          <w:tcPr>
            <w:tcW w:w="2144" w:type="dxa"/>
          </w:tcPr>
          <w:p w:rsidR="001B180D" w:rsidRPr="00131DA9" w:rsidRDefault="001B180D" w:rsidP="004D1049">
            <w:pPr>
              <w:spacing w:line="360" w:lineRule="auto"/>
              <w:jc w:val="both"/>
              <w:rPr>
                <w:rFonts w:ascii="Arial" w:hAnsi="Arial" w:cs="Arial"/>
                <w:b/>
                <w:sz w:val="24"/>
                <w:szCs w:val="24"/>
                <w:lang w:val="mn-MN"/>
              </w:rPr>
            </w:pPr>
            <w:r w:rsidRPr="00131DA9">
              <w:rPr>
                <w:rFonts w:ascii="Arial" w:hAnsi="Arial" w:cs="Arial"/>
                <w:b/>
                <w:sz w:val="24"/>
                <w:szCs w:val="24"/>
                <w:lang w:val="mn-MN"/>
              </w:rPr>
              <w:t>Эм</w:t>
            </w:r>
          </w:p>
        </w:tc>
        <w:tc>
          <w:tcPr>
            <w:tcW w:w="2394" w:type="dxa"/>
          </w:tcPr>
          <w:p w:rsidR="001B180D" w:rsidRPr="00131DA9" w:rsidRDefault="001B180D" w:rsidP="004D1049">
            <w:pPr>
              <w:spacing w:line="360" w:lineRule="auto"/>
              <w:jc w:val="center"/>
              <w:rPr>
                <w:rFonts w:ascii="Arial" w:hAnsi="Arial" w:cs="Arial"/>
                <w:sz w:val="24"/>
                <w:szCs w:val="24"/>
                <w:lang w:val="mn-MN"/>
              </w:rPr>
            </w:pPr>
            <w:r>
              <w:rPr>
                <w:rFonts w:ascii="Arial" w:hAnsi="Arial" w:cs="Arial"/>
                <w:sz w:val="24"/>
                <w:szCs w:val="24"/>
                <w:lang w:val="mn-MN"/>
              </w:rPr>
              <w:t>2,25 м/с</w:t>
            </w:r>
          </w:p>
        </w:tc>
        <w:tc>
          <w:tcPr>
            <w:tcW w:w="2394" w:type="dxa"/>
          </w:tcPr>
          <w:p w:rsidR="001B180D" w:rsidRPr="00131DA9" w:rsidRDefault="001B180D" w:rsidP="004D1049">
            <w:pPr>
              <w:spacing w:line="360" w:lineRule="auto"/>
              <w:jc w:val="center"/>
              <w:rPr>
                <w:rFonts w:ascii="Arial" w:hAnsi="Arial" w:cs="Arial"/>
                <w:sz w:val="24"/>
                <w:szCs w:val="24"/>
                <w:lang w:val="mn-MN"/>
              </w:rPr>
            </w:pPr>
            <w:r>
              <w:rPr>
                <w:rFonts w:ascii="Arial" w:hAnsi="Arial" w:cs="Arial"/>
                <w:sz w:val="24"/>
                <w:szCs w:val="24"/>
                <w:lang w:val="mn-MN"/>
              </w:rPr>
              <w:t>1,57 м/с</w:t>
            </w:r>
          </w:p>
        </w:tc>
        <w:tc>
          <w:tcPr>
            <w:tcW w:w="2394" w:type="dxa"/>
          </w:tcPr>
          <w:p w:rsidR="001B180D" w:rsidRPr="00131DA9" w:rsidRDefault="001B180D" w:rsidP="004D1049">
            <w:pPr>
              <w:spacing w:line="360" w:lineRule="auto"/>
              <w:jc w:val="center"/>
              <w:rPr>
                <w:rFonts w:ascii="Arial" w:hAnsi="Arial" w:cs="Arial"/>
                <w:sz w:val="24"/>
                <w:szCs w:val="24"/>
                <w:lang w:val="mn-MN"/>
              </w:rPr>
            </w:pPr>
            <w:r>
              <w:rPr>
                <w:rFonts w:ascii="Arial" w:hAnsi="Arial" w:cs="Arial"/>
                <w:sz w:val="24"/>
                <w:szCs w:val="24"/>
                <w:lang w:val="mn-MN"/>
              </w:rPr>
              <w:t>1,47 м/с</w:t>
            </w:r>
          </w:p>
        </w:tc>
      </w:tr>
    </w:tbl>
    <w:p w:rsidR="001B180D" w:rsidRDefault="001B180D" w:rsidP="001B180D">
      <w:pPr>
        <w:tabs>
          <w:tab w:val="left" w:pos="2076"/>
        </w:tabs>
        <w:spacing w:before="100" w:beforeAutospacing="1" w:after="100" w:afterAutospacing="1" w:line="360" w:lineRule="auto"/>
        <w:ind w:firstLine="714"/>
        <w:jc w:val="both"/>
        <w:rPr>
          <w:rFonts w:ascii="Arial" w:eastAsia="Times New Roman" w:hAnsi="Arial" w:cs="Arial"/>
          <w:sz w:val="24"/>
          <w:szCs w:val="24"/>
        </w:rPr>
      </w:pPr>
      <w:r>
        <w:rPr>
          <w:rFonts w:ascii="Arial" w:eastAsia="Times New Roman" w:hAnsi="Arial" w:cs="Arial"/>
          <w:sz w:val="24"/>
          <w:szCs w:val="24"/>
        </w:rPr>
        <w:tab/>
      </w:r>
      <w:r w:rsidRPr="00E350B7">
        <w:rPr>
          <w:rFonts w:ascii="Arial" w:eastAsia="Times New Roman" w:hAnsi="Arial" w:cs="Arial"/>
          <w:sz w:val="24"/>
          <w:szCs w:val="24"/>
        </w:rPr>
        <w:drawing>
          <wp:inline distT="0" distB="0" distL="0" distR="0">
            <wp:extent cx="5486400" cy="3200400"/>
            <wp:effectExtent l="19050" t="0" r="19050" b="0"/>
            <wp:docPr id="7"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1B180D" w:rsidRPr="00EE1108" w:rsidRDefault="001B180D" w:rsidP="001B180D">
      <w:pPr>
        <w:spacing w:before="100" w:beforeAutospacing="1" w:after="100" w:afterAutospacing="1" w:line="360" w:lineRule="auto"/>
        <w:ind w:firstLine="714"/>
        <w:jc w:val="both"/>
        <w:rPr>
          <w:rFonts w:ascii="Arial" w:eastAsia="Times New Roman" w:hAnsi="Arial" w:cs="Arial"/>
          <w:sz w:val="24"/>
          <w:szCs w:val="24"/>
          <w:lang w:val="mn-MN"/>
        </w:rPr>
      </w:pPr>
      <w:r w:rsidRPr="00EE1108">
        <w:rPr>
          <w:rFonts w:ascii="Arial" w:eastAsia="Times New Roman" w:hAnsi="Arial" w:cs="Arial"/>
          <w:sz w:val="24"/>
          <w:szCs w:val="24"/>
          <w:lang w:val="mn-MN"/>
        </w:rPr>
        <w:t xml:space="preserve">Тэсвэрийн дундаж үзүүлэлтүүдийг 2010-2012 оныхтой харьцуулбал: </w:t>
      </w:r>
    </w:p>
    <w:p w:rsidR="001B180D" w:rsidRPr="00EE1108" w:rsidRDefault="001B180D" w:rsidP="001B180D">
      <w:pPr>
        <w:spacing w:before="100" w:beforeAutospacing="1" w:after="100" w:afterAutospacing="1" w:line="360" w:lineRule="auto"/>
        <w:ind w:firstLine="714"/>
        <w:jc w:val="both"/>
        <w:rPr>
          <w:rFonts w:ascii="Arial" w:eastAsia="Times New Roman" w:hAnsi="Arial" w:cs="Arial"/>
          <w:sz w:val="24"/>
          <w:szCs w:val="24"/>
          <w:lang w:val="mn-MN"/>
        </w:rPr>
      </w:pPr>
      <w:r w:rsidRPr="00EE1108">
        <w:rPr>
          <w:rFonts w:ascii="Arial" w:eastAsia="Times New Roman" w:hAnsi="Arial" w:cs="Arial"/>
          <w:sz w:val="24"/>
          <w:szCs w:val="24"/>
          <w:lang w:val="mn-MN"/>
        </w:rPr>
        <w:t>Эрэгтэй оюутных 2011 онд 0,2 секундээр ахисан бол 2012 онд 0,32 секундээр ахисан байна.</w:t>
      </w:r>
      <w:r>
        <w:rPr>
          <w:rFonts w:ascii="Arial" w:eastAsia="Times New Roman" w:hAnsi="Arial" w:cs="Arial"/>
          <w:sz w:val="24"/>
          <w:szCs w:val="24"/>
          <w:lang w:val="mn-MN"/>
        </w:rPr>
        <w:t xml:space="preserve"> Харин эмэгтэй оюутнуудын хувьд 2011 онд 0,68 секундээр буурч, 2012 онд 0,1 секундээр буурч байгаа нь судалгаанаас харагдлаа.</w:t>
      </w:r>
    </w:p>
    <w:p w:rsidR="00F97CFA" w:rsidRDefault="00F97CFA" w:rsidP="00996911">
      <w:pPr>
        <w:spacing w:before="100" w:beforeAutospacing="1" w:after="100" w:afterAutospacing="1" w:line="360" w:lineRule="auto"/>
        <w:ind w:firstLine="714"/>
        <w:jc w:val="both"/>
        <w:rPr>
          <w:rFonts w:ascii="Arial" w:eastAsia="Times New Roman" w:hAnsi="Arial" w:cs="Arial"/>
          <w:sz w:val="24"/>
          <w:szCs w:val="24"/>
          <w:lang w:val="mn-MN"/>
        </w:rPr>
      </w:pPr>
      <w:r>
        <w:rPr>
          <w:rFonts w:ascii="Arial" w:eastAsia="Times New Roman" w:hAnsi="Arial" w:cs="Arial"/>
          <w:sz w:val="24"/>
          <w:szCs w:val="24"/>
          <w:lang w:val="mn-MN"/>
        </w:rPr>
        <w:t xml:space="preserve">Бид энэхүү судалгаандаа өмнөх жилийн тэсвэрийн үзүүлсэн амжилтыг дараа жил, тэрний дараа жилтэй харьцуулж дүгнэсэн юм. Дээрх үзүүлэлтүүдээс харахад эрэгтэй оюутнуудын тэсвэрийн чанар бага хэмжээгээр нэмэгдсэн боловч </w:t>
      </w:r>
      <w:r>
        <w:rPr>
          <w:rFonts w:ascii="Arial" w:eastAsia="Times New Roman" w:hAnsi="Arial" w:cs="Arial"/>
          <w:sz w:val="24"/>
          <w:szCs w:val="24"/>
          <w:lang w:val="mn-MN"/>
        </w:rPr>
        <w:lastRenderedPageBreak/>
        <w:t>эрэгтэй нийт оюутнуудын тоо харьцангуй цөөн 20-30%-ийг эзэлж байлаа. Эмэгтэй оюутнууд дийлэнх болох 70-80%-ийг эзэлж байснаас тэсвэрийн чанар нэлээд буурч байгаа нь ажиглагдсан юм. Ерөнхий ажиглалт, харьцуулалт хийхэд тэсвэрийн чанар жилээс жилд буурах хандла</w:t>
      </w:r>
      <w:r w:rsidR="00B561E2">
        <w:rPr>
          <w:rFonts w:ascii="Arial" w:eastAsia="Times New Roman" w:hAnsi="Arial" w:cs="Arial"/>
          <w:sz w:val="24"/>
          <w:szCs w:val="24"/>
          <w:lang w:val="mn-MN"/>
        </w:rPr>
        <w:t>гатай болж байгаа нь харагдлаа.</w:t>
      </w:r>
    </w:p>
    <w:p w:rsidR="00F97CFA" w:rsidRPr="00F97CFA" w:rsidRDefault="00F97CFA" w:rsidP="00F97CFA">
      <w:pPr>
        <w:spacing w:before="100" w:beforeAutospacing="1" w:after="100" w:afterAutospacing="1" w:line="360" w:lineRule="auto"/>
        <w:jc w:val="center"/>
        <w:rPr>
          <w:rFonts w:ascii="Arial" w:eastAsia="Times New Roman" w:hAnsi="Arial" w:cs="Arial"/>
          <w:b/>
          <w:sz w:val="28"/>
          <w:szCs w:val="28"/>
          <w:lang w:val="mn-MN"/>
        </w:rPr>
      </w:pPr>
      <w:r w:rsidRPr="00F97CFA">
        <w:rPr>
          <w:rFonts w:ascii="Arial" w:eastAsia="Times New Roman" w:hAnsi="Arial" w:cs="Arial"/>
          <w:b/>
          <w:sz w:val="28"/>
          <w:szCs w:val="28"/>
          <w:lang w:val="mn-MN"/>
        </w:rPr>
        <w:t>Дүгнэлт</w:t>
      </w:r>
    </w:p>
    <w:p w:rsidR="00F97CFA" w:rsidRPr="005F0598" w:rsidRDefault="00F97CFA" w:rsidP="005F0598">
      <w:pPr>
        <w:pStyle w:val="ListParagraph"/>
        <w:numPr>
          <w:ilvl w:val="0"/>
          <w:numId w:val="9"/>
        </w:numPr>
        <w:spacing w:before="100" w:beforeAutospacing="1" w:after="100" w:afterAutospacing="1" w:line="360" w:lineRule="auto"/>
        <w:jc w:val="both"/>
        <w:rPr>
          <w:rFonts w:ascii="Arial" w:eastAsia="Times New Roman" w:hAnsi="Arial" w:cs="Arial"/>
          <w:sz w:val="24"/>
          <w:szCs w:val="24"/>
          <w:lang w:val="mn-MN"/>
        </w:rPr>
      </w:pPr>
      <w:r w:rsidRPr="005F0598">
        <w:rPr>
          <w:rFonts w:ascii="Arial" w:eastAsia="Times New Roman" w:hAnsi="Arial" w:cs="Arial"/>
          <w:sz w:val="24"/>
          <w:szCs w:val="24"/>
          <w:lang w:val="mn-MN"/>
        </w:rPr>
        <w:t xml:space="preserve">Тэсвэрийн дундаж үзүүлэлт нийт оюутнуудын хувьд ойролцоогоор 30-60 секундээр буурч байгаа нь оюутан залуусын бие бялдрын бэлтгэлжилтийн төвшин, тэр тусмаа тэсвэрийн чанар муудаж байгаа гэдгийг тогтоолоо. </w:t>
      </w:r>
    </w:p>
    <w:p w:rsidR="005F74C8" w:rsidRPr="005F0598" w:rsidRDefault="005F74C8" w:rsidP="005F0598">
      <w:pPr>
        <w:pStyle w:val="ListParagraph"/>
        <w:numPr>
          <w:ilvl w:val="0"/>
          <w:numId w:val="9"/>
        </w:numPr>
        <w:spacing w:before="100" w:beforeAutospacing="1" w:after="100" w:afterAutospacing="1" w:line="360" w:lineRule="auto"/>
        <w:jc w:val="both"/>
        <w:rPr>
          <w:rFonts w:ascii="Arial" w:eastAsia="Times New Roman" w:hAnsi="Arial" w:cs="Arial"/>
          <w:sz w:val="24"/>
          <w:szCs w:val="24"/>
          <w:lang w:val="mn-MN"/>
        </w:rPr>
      </w:pPr>
      <w:r w:rsidRPr="005F0598">
        <w:rPr>
          <w:rFonts w:ascii="Arial" w:eastAsia="Times New Roman" w:hAnsi="Arial" w:cs="Arial"/>
          <w:sz w:val="24"/>
          <w:szCs w:val="24"/>
          <w:lang w:val="mn-MN"/>
        </w:rPr>
        <w:t>Бие бялдрын тэсвэрийн чанарыг дээшлүүлэхэд чиглэгдсэн мэдээлэл, гарын авлага, зөвлөмжийг бие даах хэлбэрээр судлах, ойлголт өгөх шаардлагатай байна.</w:t>
      </w:r>
    </w:p>
    <w:p w:rsidR="005F74C8" w:rsidRPr="005F0598" w:rsidRDefault="005F74C8" w:rsidP="005F0598">
      <w:pPr>
        <w:pStyle w:val="ListParagraph"/>
        <w:numPr>
          <w:ilvl w:val="0"/>
          <w:numId w:val="9"/>
        </w:numPr>
        <w:spacing w:before="100" w:beforeAutospacing="1" w:after="100" w:afterAutospacing="1" w:line="360" w:lineRule="auto"/>
        <w:jc w:val="both"/>
        <w:rPr>
          <w:rFonts w:ascii="Arial" w:eastAsia="Times New Roman" w:hAnsi="Arial" w:cs="Arial"/>
          <w:sz w:val="24"/>
          <w:szCs w:val="24"/>
          <w:lang w:val="mn-MN"/>
        </w:rPr>
      </w:pPr>
      <w:r w:rsidRPr="005F0598">
        <w:rPr>
          <w:rFonts w:ascii="Arial" w:eastAsia="Times New Roman" w:hAnsi="Arial" w:cs="Arial"/>
          <w:sz w:val="24"/>
          <w:szCs w:val="24"/>
          <w:lang w:val="mn-MN"/>
        </w:rPr>
        <w:t>Биеийн тамирын хичээлийн хөтөлбөрт тэсвэрийг хөгжүүлэх дасгалыг түлхүү оруулах тал дээр анхаарах ба хичээлийн орох цагийг ихэсгэх нь үр дүнд хүрэх боломжтой гэж үзэж байна.</w:t>
      </w:r>
    </w:p>
    <w:p w:rsidR="005F74C8" w:rsidRDefault="005F74C8" w:rsidP="005F74C8">
      <w:pPr>
        <w:pStyle w:val="ListParagraph"/>
        <w:spacing w:before="100" w:beforeAutospacing="1" w:after="100" w:afterAutospacing="1" w:line="360" w:lineRule="auto"/>
        <w:jc w:val="both"/>
        <w:rPr>
          <w:rFonts w:ascii="Arial" w:eastAsia="Times New Roman" w:hAnsi="Arial" w:cs="Arial"/>
          <w:sz w:val="24"/>
          <w:szCs w:val="24"/>
          <w:lang w:val="mn-MN"/>
        </w:rPr>
      </w:pPr>
    </w:p>
    <w:p w:rsidR="005F74C8" w:rsidRPr="005F74C8" w:rsidRDefault="005F74C8" w:rsidP="005F74C8">
      <w:pPr>
        <w:spacing w:before="100" w:beforeAutospacing="1" w:after="100" w:afterAutospacing="1" w:line="360" w:lineRule="auto"/>
        <w:jc w:val="center"/>
        <w:rPr>
          <w:rFonts w:ascii="Arial" w:eastAsia="Times New Roman" w:hAnsi="Arial" w:cs="Arial"/>
          <w:b/>
          <w:sz w:val="24"/>
          <w:szCs w:val="24"/>
          <w:lang w:val="mn-MN"/>
        </w:rPr>
      </w:pPr>
      <w:r w:rsidRPr="005F74C8">
        <w:rPr>
          <w:rFonts w:ascii="Arial" w:eastAsia="Times New Roman" w:hAnsi="Arial" w:cs="Arial"/>
          <w:b/>
          <w:sz w:val="24"/>
          <w:szCs w:val="24"/>
          <w:lang w:val="mn-MN"/>
        </w:rPr>
        <w:t>НОМ ЗҮЙ</w:t>
      </w:r>
    </w:p>
    <w:p w:rsidR="00996911" w:rsidRDefault="004C48AA" w:rsidP="005F74C8">
      <w:pPr>
        <w:pStyle w:val="ListParagraph"/>
        <w:numPr>
          <w:ilvl w:val="0"/>
          <w:numId w:val="7"/>
        </w:numPr>
        <w:spacing w:line="360" w:lineRule="auto"/>
        <w:jc w:val="both"/>
        <w:rPr>
          <w:rFonts w:ascii="Arial" w:hAnsi="Arial" w:cs="Arial"/>
          <w:sz w:val="24"/>
          <w:szCs w:val="24"/>
          <w:lang w:val="mn-MN"/>
        </w:rPr>
      </w:pPr>
      <w:r>
        <w:rPr>
          <w:rFonts w:ascii="Arial" w:hAnsi="Arial" w:cs="Arial"/>
          <w:sz w:val="24"/>
          <w:szCs w:val="24"/>
          <w:lang w:val="mn-MN"/>
        </w:rPr>
        <w:t>Г.Батцэцэг “Спортын хэмжил зүй” 2011 он</w:t>
      </w:r>
    </w:p>
    <w:p w:rsidR="004C48AA" w:rsidRPr="005F74C8" w:rsidRDefault="004C48AA" w:rsidP="005F74C8">
      <w:pPr>
        <w:pStyle w:val="ListParagraph"/>
        <w:numPr>
          <w:ilvl w:val="0"/>
          <w:numId w:val="7"/>
        </w:numPr>
        <w:spacing w:line="360" w:lineRule="auto"/>
        <w:jc w:val="both"/>
        <w:rPr>
          <w:rFonts w:ascii="Arial" w:hAnsi="Arial" w:cs="Arial"/>
          <w:sz w:val="24"/>
          <w:szCs w:val="24"/>
          <w:lang w:val="mn-MN"/>
        </w:rPr>
      </w:pPr>
      <w:r>
        <w:rPr>
          <w:rFonts w:ascii="Arial" w:hAnsi="Arial" w:cs="Arial"/>
          <w:sz w:val="24"/>
          <w:szCs w:val="24"/>
          <w:lang w:val="mn-MN"/>
        </w:rPr>
        <w:t>Л.Уртнасан “Бие бялдрын хөгжилтийн агуулга” 2010 он</w:t>
      </w:r>
    </w:p>
    <w:p w:rsidR="00992F6E" w:rsidRPr="00992F6E" w:rsidRDefault="00992F6E" w:rsidP="002C73DB">
      <w:pPr>
        <w:spacing w:line="360" w:lineRule="auto"/>
        <w:ind w:left="360"/>
        <w:jc w:val="both"/>
        <w:rPr>
          <w:rFonts w:ascii="Arial" w:hAnsi="Arial" w:cs="Arial"/>
          <w:sz w:val="24"/>
          <w:szCs w:val="24"/>
          <w:lang w:val="mn-MN"/>
        </w:rPr>
      </w:pPr>
    </w:p>
    <w:sectPr w:rsidR="00992F6E" w:rsidRPr="00992F6E" w:rsidSect="00E213E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ED6C11"/>
    <w:multiLevelType w:val="hybridMultilevel"/>
    <w:tmpl w:val="D62AB8B6"/>
    <w:lvl w:ilvl="0" w:tplc="29C02E34">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455836"/>
    <w:multiLevelType w:val="hybridMultilevel"/>
    <w:tmpl w:val="9F3A0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506564"/>
    <w:multiLevelType w:val="hybridMultilevel"/>
    <w:tmpl w:val="AC442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4FC21F4"/>
    <w:multiLevelType w:val="hybridMultilevel"/>
    <w:tmpl w:val="36560D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EF6620E"/>
    <w:multiLevelType w:val="hybridMultilevel"/>
    <w:tmpl w:val="736C9068"/>
    <w:lvl w:ilvl="0" w:tplc="F87E7B52">
      <w:start w:val="1"/>
      <w:numFmt w:val="decimal"/>
      <w:lvlText w:val="%1."/>
      <w:lvlJc w:val="left"/>
      <w:pPr>
        <w:ind w:left="720" w:hanging="360"/>
      </w:pPr>
      <w:rPr>
        <w:rFonts w:ascii="Arial" w:hAnsi="Arial" w:cs="Arial"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6291292"/>
    <w:multiLevelType w:val="hybridMultilevel"/>
    <w:tmpl w:val="89F04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8333E82"/>
    <w:multiLevelType w:val="hybridMultilevel"/>
    <w:tmpl w:val="AAA4E40E"/>
    <w:lvl w:ilvl="0" w:tplc="29C02E34">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8CA3D25"/>
    <w:multiLevelType w:val="multilevel"/>
    <w:tmpl w:val="97C60E6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nsid w:val="6CFA02FA"/>
    <w:multiLevelType w:val="hybridMultilevel"/>
    <w:tmpl w:val="6742D2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5"/>
  </w:num>
  <w:num w:numId="5">
    <w:abstractNumId w:val="0"/>
  </w:num>
  <w:num w:numId="6">
    <w:abstractNumId w:val="3"/>
  </w:num>
  <w:num w:numId="7">
    <w:abstractNumId w:val="8"/>
  </w:num>
  <w:num w:numId="8">
    <w:abstractNumId w:val="6"/>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compat/>
  <w:rsids>
    <w:rsidRoot w:val="002C73DB"/>
    <w:rsid w:val="000F4B8D"/>
    <w:rsid w:val="001B180D"/>
    <w:rsid w:val="002C73DB"/>
    <w:rsid w:val="003B6192"/>
    <w:rsid w:val="003F054A"/>
    <w:rsid w:val="004C48AA"/>
    <w:rsid w:val="005F0598"/>
    <w:rsid w:val="005F74C8"/>
    <w:rsid w:val="0064057D"/>
    <w:rsid w:val="008B5DDB"/>
    <w:rsid w:val="00992F6E"/>
    <w:rsid w:val="00996911"/>
    <w:rsid w:val="00A03D6E"/>
    <w:rsid w:val="00B561E2"/>
    <w:rsid w:val="00BA26F5"/>
    <w:rsid w:val="00C63406"/>
    <w:rsid w:val="00C85DCA"/>
    <w:rsid w:val="00D07B64"/>
    <w:rsid w:val="00E17D68"/>
    <w:rsid w:val="00E213ED"/>
    <w:rsid w:val="00E350B7"/>
    <w:rsid w:val="00EE1108"/>
    <w:rsid w:val="00F97CF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73DB"/>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C73DB"/>
    <w:pPr>
      <w:spacing w:after="0" w:line="240" w:lineRule="auto"/>
    </w:pPr>
    <w:rPr>
      <w:rFonts w:ascii="Tahoma" w:hAnsi="Tahoma"/>
      <w:sz w:val="16"/>
      <w:szCs w:val="16"/>
    </w:rPr>
  </w:style>
  <w:style w:type="character" w:customStyle="1" w:styleId="BalloonTextChar">
    <w:name w:val="Balloon Text Char"/>
    <w:basedOn w:val="DefaultParagraphFont"/>
    <w:link w:val="BalloonText"/>
    <w:uiPriority w:val="99"/>
    <w:semiHidden/>
    <w:rsid w:val="002C73DB"/>
    <w:rPr>
      <w:rFonts w:ascii="Tahoma" w:eastAsiaTheme="minorEastAsia" w:hAnsi="Tahoma"/>
      <w:sz w:val="16"/>
      <w:szCs w:val="16"/>
    </w:rPr>
  </w:style>
  <w:style w:type="paragraph" w:styleId="ListParagraph">
    <w:name w:val="List Paragraph"/>
    <w:basedOn w:val="Normal"/>
    <w:uiPriority w:val="34"/>
    <w:qFormat/>
    <w:rsid w:val="002C73DB"/>
    <w:pPr>
      <w:ind w:left="720"/>
      <w:contextualSpacing/>
    </w:pPr>
  </w:style>
  <w:style w:type="table" w:styleId="TableGrid">
    <w:name w:val="Table Grid"/>
    <w:basedOn w:val="TableNormal"/>
    <w:uiPriority w:val="59"/>
    <w:rsid w:val="00E350B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hart" Target="charts/chart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1.xm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Office_Excel_Worksheet2.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view3D>
      <c:rAngAx val="1"/>
    </c:view3D>
    <c:plotArea>
      <c:layout/>
      <c:bar3DChart>
        <c:barDir val="col"/>
        <c:grouping val="clustered"/>
        <c:ser>
          <c:idx val="0"/>
          <c:order val="0"/>
          <c:tx>
            <c:strRef>
              <c:f>Sheet1!$B$1</c:f>
              <c:strCache>
                <c:ptCount val="1"/>
                <c:pt idx="0">
                  <c:v>Оюутны тоо</c:v>
                </c:pt>
              </c:strCache>
            </c:strRef>
          </c:tx>
          <c:cat>
            <c:strRef>
              <c:f>Sheet1!$A$2:$A$5</c:f>
              <c:strCache>
                <c:ptCount val="3"/>
                <c:pt idx="0">
                  <c:v>2010 он </c:v>
                </c:pt>
                <c:pt idx="1">
                  <c:v>2011 он</c:v>
                </c:pt>
                <c:pt idx="2">
                  <c:v>2012 он</c:v>
                </c:pt>
              </c:strCache>
            </c:strRef>
          </c:cat>
          <c:val>
            <c:numRef>
              <c:f>Sheet1!$B$2:$B$5</c:f>
              <c:numCache>
                <c:formatCode>General</c:formatCode>
                <c:ptCount val="4"/>
              </c:numCache>
            </c:numRef>
          </c:val>
        </c:ser>
        <c:ser>
          <c:idx val="1"/>
          <c:order val="1"/>
          <c:tx>
            <c:strRef>
              <c:f>Sheet1!$C$1</c:f>
              <c:strCache>
                <c:ptCount val="1"/>
                <c:pt idx="0">
                  <c:v>Эрэгтэй </c:v>
                </c:pt>
              </c:strCache>
            </c:strRef>
          </c:tx>
          <c:dLbls>
            <c:txPr>
              <a:bodyPr/>
              <a:lstStyle/>
              <a:p>
                <a:pPr>
                  <a:defRPr sz="1300" b="1" i="1" baseline="0">
                    <a:solidFill>
                      <a:schemeClr val="accent2">
                        <a:lumMod val="75000"/>
                      </a:schemeClr>
                    </a:solidFill>
                  </a:defRPr>
                </a:pPr>
                <a:endParaRPr lang="en-US"/>
              </a:p>
            </c:txPr>
            <c:showVal val="1"/>
          </c:dLbls>
          <c:cat>
            <c:strRef>
              <c:f>Sheet1!$A$2:$A$5</c:f>
              <c:strCache>
                <c:ptCount val="3"/>
                <c:pt idx="0">
                  <c:v>2010 он </c:v>
                </c:pt>
                <c:pt idx="1">
                  <c:v>2011 он</c:v>
                </c:pt>
                <c:pt idx="2">
                  <c:v>2012 он</c:v>
                </c:pt>
              </c:strCache>
            </c:strRef>
          </c:cat>
          <c:val>
            <c:numRef>
              <c:f>Sheet1!$C$2:$C$5</c:f>
              <c:numCache>
                <c:formatCode>General</c:formatCode>
                <c:ptCount val="4"/>
                <c:pt idx="0">
                  <c:v>311</c:v>
                </c:pt>
                <c:pt idx="1">
                  <c:v>280</c:v>
                </c:pt>
                <c:pt idx="2">
                  <c:v>346</c:v>
                </c:pt>
              </c:numCache>
            </c:numRef>
          </c:val>
        </c:ser>
        <c:ser>
          <c:idx val="2"/>
          <c:order val="2"/>
          <c:tx>
            <c:strRef>
              <c:f>Sheet1!$D$1</c:f>
              <c:strCache>
                <c:ptCount val="1"/>
                <c:pt idx="0">
                  <c:v>Эмэгтэй </c:v>
                </c:pt>
              </c:strCache>
            </c:strRef>
          </c:tx>
          <c:dLbls>
            <c:txPr>
              <a:bodyPr/>
              <a:lstStyle/>
              <a:p>
                <a:pPr>
                  <a:defRPr sz="1300" b="1" i="1" baseline="0">
                    <a:solidFill>
                      <a:schemeClr val="accent3">
                        <a:lumMod val="75000"/>
                      </a:schemeClr>
                    </a:solidFill>
                  </a:defRPr>
                </a:pPr>
                <a:endParaRPr lang="en-US"/>
              </a:p>
            </c:txPr>
            <c:showVal val="1"/>
          </c:dLbls>
          <c:cat>
            <c:strRef>
              <c:f>Sheet1!$A$2:$A$5</c:f>
              <c:strCache>
                <c:ptCount val="3"/>
                <c:pt idx="0">
                  <c:v>2010 он </c:v>
                </c:pt>
                <c:pt idx="1">
                  <c:v>2011 он</c:v>
                </c:pt>
                <c:pt idx="2">
                  <c:v>2012 он</c:v>
                </c:pt>
              </c:strCache>
            </c:strRef>
          </c:cat>
          <c:val>
            <c:numRef>
              <c:f>Sheet1!$D$2:$D$5</c:f>
              <c:numCache>
                <c:formatCode>General</c:formatCode>
                <c:ptCount val="4"/>
                <c:pt idx="0">
                  <c:v>1054</c:v>
                </c:pt>
                <c:pt idx="1">
                  <c:v>1029</c:v>
                </c:pt>
                <c:pt idx="2">
                  <c:v>1144</c:v>
                </c:pt>
              </c:numCache>
            </c:numRef>
          </c:val>
        </c:ser>
        <c:shape val="cone"/>
        <c:axId val="74962816"/>
        <c:axId val="81644928"/>
        <c:axId val="0"/>
      </c:bar3DChart>
      <c:catAx>
        <c:axId val="74962816"/>
        <c:scaling>
          <c:orientation val="minMax"/>
        </c:scaling>
        <c:axPos val="b"/>
        <c:numFmt formatCode="General" sourceLinked="1"/>
        <c:tickLblPos val="nextTo"/>
        <c:txPr>
          <a:bodyPr/>
          <a:lstStyle/>
          <a:p>
            <a:pPr>
              <a:defRPr sz="1200" b="1" i="1" baseline="0">
                <a:solidFill>
                  <a:schemeClr val="tx2">
                    <a:lumMod val="60000"/>
                    <a:lumOff val="40000"/>
                  </a:schemeClr>
                </a:solidFill>
              </a:defRPr>
            </a:pPr>
            <a:endParaRPr lang="en-US"/>
          </a:p>
        </c:txPr>
        <c:crossAx val="81644928"/>
        <c:crosses val="autoZero"/>
        <c:auto val="1"/>
        <c:lblAlgn val="ctr"/>
        <c:lblOffset val="100"/>
      </c:catAx>
      <c:valAx>
        <c:axId val="81644928"/>
        <c:scaling>
          <c:orientation val="minMax"/>
        </c:scaling>
        <c:axPos val="l"/>
        <c:majorGridlines/>
        <c:numFmt formatCode="General" sourceLinked="1"/>
        <c:tickLblPos val="nextTo"/>
        <c:crossAx val="74962816"/>
        <c:crosses val="autoZero"/>
        <c:crossBetween val="between"/>
      </c:valAx>
    </c:plotArea>
    <c:legend>
      <c:legendPos val="r"/>
    </c:legend>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view3D>
      <c:rAngAx val="1"/>
    </c:view3D>
    <c:plotArea>
      <c:layout/>
      <c:bar3DChart>
        <c:barDir val="col"/>
        <c:grouping val="clustered"/>
        <c:ser>
          <c:idx val="0"/>
          <c:order val="0"/>
          <c:tx>
            <c:strRef>
              <c:f>Sheet1!$B$1</c:f>
              <c:strCache>
                <c:ptCount val="1"/>
                <c:pt idx="0">
                  <c:v>Тэсвэр</c:v>
                </c:pt>
              </c:strCache>
            </c:strRef>
          </c:tx>
          <c:cat>
            <c:strRef>
              <c:f>Sheet1!$A$2:$A$5</c:f>
              <c:strCache>
                <c:ptCount val="3"/>
                <c:pt idx="0">
                  <c:v>2010 он </c:v>
                </c:pt>
                <c:pt idx="1">
                  <c:v>2011 он </c:v>
                </c:pt>
                <c:pt idx="2">
                  <c:v>2012 он </c:v>
                </c:pt>
              </c:strCache>
            </c:strRef>
          </c:cat>
          <c:val>
            <c:numRef>
              <c:f>Sheet1!$B$2:$B$5</c:f>
              <c:numCache>
                <c:formatCode>General</c:formatCode>
                <c:ptCount val="4"/>
              </c:numCache>
            </c:numRef>
          </c:val>
        </c:ser>
        <c:ser>
          <c:idx val="1"/>
          <c:order val="1"/>
          <c:tx>
            <c:strRef>
              <c:f>Sheet1!$C$1</c:f>
              <c:strCache>
                <c:ptCount val="1"/>
                <c:pt idx="0">
                  <c:v>Эрэгтэй </c:v>
                </c:pt>
              </c:strCache>
            </c:strRef>
          </c:tx>
          <c:dLbls>
            <c:dLbl>
              <c:idx val="0"/>
              <c:layout>
                <c:manualLayout>
                  <c:x val="-3.4722222222222224E-2"/>
                  <c:y val="7.5396825396825434E-2"/>
                </c:manualLayout>
              </c:layout>
              <c:showVal val="1"/>
            </c:dLbl>
            <c:dLbl>
              <c:idx val="1"/>
              <c:layout>
                <c:manualLayout>
                  <c:x val="-3.4722222222222224E-2"/>
                  <c:y val="0.11111111111111109"/>
                </c:manualLayout>
              </c:layout>
              <c:showVal val="1"/>
            </c:dLbl>
            <c:dLbl>
              <c:idx val="2"/>
              <c:layout>
                <c:manualLayout>
                  <c:x val="-3.2407407407407447E-2"/>
                  <c:y val="0.1111111111111111"/>
                </c:manualLayout>
              </c:layout>
              <c:showVal val="1"/>
            </c:dLbl>
            <c:txPr>
              <a:bodyPr/>
              <a:lstStyle/>
              <a:p>
                <a:pPr>
                  <a:defRPr sz="1200" b="1" i="1" baseline="0">
                    <a:solidFill>
                      <a:schemeClr val="accent4">
                        <a:lumMod val="75000"/>
                      </a:schemeClr>
                    </a:solidFill>
                  </a:defRPr>
                </a:pPr>
                <a:endParaRPr lang="en-US"/>
              </a:p>
            </c:txPr>
            <c:showVal val="1"/>
          </c:dLbls>
          <c:cat>
            <c:strRef>
              <c:f>Sheet1!$A$2:$A$5</c:f>
              <c:strCache>
                <c:ptCount val="3"/>
                <c:pt idx="0">
                  <c:v>2010 он </c:v>
                </c:pt>
                <c:pt idx="1">
                  <c:v>2011 он </c:v>
                </c:pt>
                <c:pt idx="2">
                  <c:v>2012 он </c:v>
                </c:pt>
              </c:strCache>
            </c:strRef>
          </c:cat>
          <c:val>
            <c:numRef>
              <c:f>Sheet1!$C$2:$C$5</c:f>
              <c:numCache>
                <c:formatCode>General</c:formatCode>
                <c:ptCount val="4"/>
                <c:pt idx="0">
                  <c:v>1.71</c:v>
                </c:pt>
                <c:pt idx="1">
                  <c:v>1.9100000000000001</c:v>
                </c:pt>
                <c:pt idx="2">
                  <c:v>2.23</c:v>
                </c:pt>
              </c:numCache>
            </c:numRef>
          </c:val>
        </c:ser>
        <c:ser>
          <c:idx val="2"/>
          <c:order val="2"/>
          <c:tx>
            <c:strRef>
              <c:f>Sheet1!$D$1</c:f>
              <c:strCache>
                <c:ptCount val="1"/>
                <c:pt idx="0">
                  <c:v>Эмэгтэй</c:v>
                </c:pt>
              </c:strCache>
            </c:strRef>
          </c:tx>
          <c:dLbls>
            <c:dLbl>
              <c:idx val="0"/>
              <c:layout>
                <c:manualLayout>
                  <c:x val="3.4722222222222224E-2"/>
                  <c:y val="1.1904761904761915E-2"/>
                </c:manualLayout>
              </c:layout>
              <c:showVal val="1"/>
            </c:dLbl>
            <c:dLbl>
              <c:idx val="1"/>
              <c:layout>
                <c:manualLayout>
                  <c:x val="3.2407407407407447E-2"/>
                  <c:y val="0"/>
                </c:manualLayout>
              </c:layout>
              <c:showVal val="1"/>
            </c:dLbl>
            <c:dLbl>
              <c:idx val="2"/>
              <c:layout>
                <c:manualLayout>
                  <c:x val="3.7037037037037056E-2"/>
                  <c:y val="-3.5714285714285678E-2"/>
                </c:manualLayout>
              </c:layout>
              <c:showVal val="1"/>
            </c:dLbl>
            <c:txPr>
              <a:bodyPr/>
              <a:lstStyle/>
              <a:p>
                <a:pPr>
                  <a:defRPr sz="1200" b="1" i="1" baseline="0">
                    <a:solidFill>
                      <a:srgbClr val="00B050"/>
                    </a:solidFill>
                  </a:defRPr>
                </a:pPr>
                <a:endParaRPr lang="en-US"/>
              </a:p>
            </c:txPr>
            <c:showVal val="1"/>
          </c:dLbls>
          <c:cat>
            <c:strRef>
              <c:f>Sheet1!$A$2:$A$5</c:f>
              <c:strCache>
                <c:ptCount val="3"/>
                <c:pt idx="0">
                  <c:v>2010 он </c:v>
                </c:pt>
                <c:pt idx="1">
                  <c:v>2011 он </c:v>
                </c:pt>
                <c:pt idx="2">
                  <c:v>2012 он </c:v>
                </c:pt>
              </c:strCache>
            </c:strRef>
          </c:cat>
          <c:val>
            <c:numRef>
              <c:f>Sheet1!$D$2:$D$5</c:f>
              <c:numCache>
                <c:formatCode>General</c:formatCode>
                <c:ptCount val="4"/>
                <c:pt idx="0">
                  <c:v>2.25</c:v>
                </c:pt>
                <c:pt idx="1">
                  <c:v>1.57</c:v>
                </c:pt>
                <c:pt idx="2">
                  <c:v>1.47</c:v>
                </c:pt>
              </c:numCache>
            </c:numRef>
          </c:val>
        </c:ser>
        <c:shape val="cone"/>
        <c:axId val="95714304"/>
        <c:axId val="110662784"/>
        <c:axId val="0"/>
      </c:bar3DChart>
      <c:catAx>
        <c:axId val="95714304"/>
        <c:scaling>
          <c:orientation val="minMax"/>
        </c:scaling>
        <c:axPos val="b"/>
        <c:numFmt formatCode="General" sourceLinked="1"/>
        <c:tickLblPos val="nextTo"/>
        <c:txPr>
          <a:bodyPr/>
          <a:lstStyle/>
          <a:p>
            <a:pPr>
              <a:defRPr sz="1200" b="1" i="1" baseline="0">
                <a:solidFill>
                  <a:schemeClr val="tx2">
                    <a:lumMod val="60000"/>
                    <a:lumOff val="40000"/>
                  </a:schemeClr>
                </a:solidFill>
              </a:defRPr>
            </a:pPr>
            <a:endParaRPr lang="en-US"/>
          </a:p>
        </c:txPr>
        <c:crossAx val="110662784"/>
        <c:crosses val="autoZero"/>
        <c:auto val="1"/>
        <c:lblAlgn val="ctr"/>
        <c:lblOffset val="100"/>
      </c:catAx>
      <c:valAx>
        <c:axId val="110662784"/>
        <c:scaling>
          <c:orientation val="minMax"/>
        </c:scaling>
        <c:axPos val="l"/>
        <c:majorGridlines/>
        <c:numFmt formatCode="General" sourceLinked="1"/>
        <c:tickLblPos val="nextTo"/>
        <c:crossAx val="95714304"/>
        <c:crosses val="autoZero"/>
        <c:crossBetween val="between"/>
      </c:valAx>
    </c:plotArea>
    <c:legend>
      <c:legendPos val="r"/>
    </c:legend>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94</TotalTime>
  <Pages>5</Pages>
  <Words>806</Words>
  <Characters>4598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31</cp:revision>
  <dcterms:created xsi:type="dcterms:W3CDTF">2014-04-01T06:26:00Z</dcterms:created>
  <dcterms:modified xsi:type="dcterms:W3CDTF">2014-04-01T08:29:00Z</dcterms:modified>
</cp:coreProperties>
</file>