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A8" w:rsidRPr="00F10F52" w:rsidRDefault="003547C2" w:rsidP="002D0BC7">
      <w:pPr>
        <w:jc w:val="center"/>
        <w:rPr>
          <w:rFonts w:ascii="Times New Roman" w:hAnsi="Times New Roman" w:cs="Times New Roman"/>
          <w:b/>
        </w:rPr>
      </w:pPr>
      <w:proofErr w:type="spellStart"/>
      <w:r w:rsidRPr="00F10F52">
        <w:rPr>
          <w:rFonts w:ascii="Times New Roman" w:hAnsi="Times New Roman" w:cs="Times New Roman"/>
          <w:b/>
        </w:rPr>
        <w:t>Оюуны</w:t>
      </w:r>
      <w:proofErr w:type="spellEnd"/>
      <w:r w:rsidRPr="00F10F52">
        <w:rPr>
          <w:rFonts w:ascii="Times New Roman" w:hAnsi="Times New Roman" w:cs="Times New Roman"/>
          <w:b/>
        </w:rPr>
        <w:t xml:space="preserve"> </w:t>
      </w:r>
      <w:r w:rsidR="00AF1817" w:rsidRPr="00F10F52">
        <w:rPr>
          <w:rFonts w:ascii="Times New Roman" w:hAnsi="Times New Roman" w:cs="Times New Roman"/>
          <w:b/>
          <w:lang w:val="mn-MN"/>
        </w:rPr>
        <w:t>хөгжлийн бэрхшээлтэй хүүхдийг</w:t>
      </w:r>
      <w:r w:rsidR="00AF1817" w:rsidRPr="00F10F52">
        <w:rPr>
          <w:rFonts w:ascii="Times New Roman" w:hAnsi="Times New Roman" w:cs="Times New Roman"/>
          <w:b/>
        </w:rPr>
        <w:t xml:space="preserve"> </w:t>
      </w:r>
      <w:r w:rsidR="002D0BC7" w:rsidRPr="00F10F52">
        <w:rPr>
          <w:rFonts w:ascii="Times New Roman" w:hAnsi="Times New Roman" w:cs="Times New Roman"/>
          <w:b/>
          <w:lang w:val="mn-MN"/>
        </w:rPr>
        <w:t xml:space="preserve">судлах </w:t>
      </w:r>
      <w:r w:rsidR="00AF1817" w:rsidRPr="00F10F52">
        <w:rPr>
          <w:rFonts w:ascii="Times New Roman" w:hAnsi="Times New Roman" w:cs="Times New Roman"/>
          <w:b/>
          <w:lang w:val="mn-MN"/>
        </w:rPr>
        <w:t xml:space="preserve">үнэлэх </w:t>
      </w:r>
      <w:r w:rsidR="002D0BC7" w:rsidRPr="00F10F52">
        <w:rPr>
          <w:rFonts w:ascii="Times New Roman" w:hAnsi="Times New Roman" w:cs="Times New Roman"/>
          <w:b/>
          <w:lang w:val="mn-MN"/>
        </w:rPr>
        <w:t xml:space="preserve">асуудалд </w:t>
      </w:r>
    </w:p>
    <w:p w:rsidR="00D64F05" w:rsidRPr="00F348CB" w:rsidRDefault="00F348CB" w:rsidP="00F348CB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mn-MN"/>
        </w:rPr>
        <w:t xml:space="preserve"> </w:t>
      </w:r>
      <w:r w:rsidR="009523D4" w:rsidRPr="00F10F52">
        <w:rPr>
          <w:rFonts w:ascii="Times New Roman" w:hAnsi="Times New Roman" w:cs="Times New Roman"/>
          <w:bCs/>
          <w:lang w:val="mn-MN"/>
        </w:rPr>
        <w:t>Манай улс “Хүүхдийн эрхийн конвенц”, “Бүх нийтийн боловсрол”, “Боловсролд тэгш хамруулах” үзэл баримтлалын үзэл</w:t>
      </w:r>
      <w:r w:rsidR="00D86A34" w:rsidRPr="00F10F52">
        <w:rPr>
          <w:rFonts w:ascii="Times New Roman" w:hAnsi="Times New Roman" w:cs="Times New Roman"/>
          <w:bCs/>
          <w:lang w:val="mn-MN"/>
        </w:rPr>
        <w:t xml:space="preserve"> санааг хэрэгжүүлэхтэй холбогдон </w:t>
      </w:r>
      <w:r w:rsidR="00AB3F9B" w:rsidRPr="00F10F52">
        <w:rPr>
          <w:rFonts w:ascii="Times New Roman" w:hAnsi="Times New Roman" w:cs="Times New Roman"/>
          <w:bCs/>
          <w:lang w:val="mn-MN"/>
        </w:rPr>
        <w:t xml:space="preserve">хөнгөн хэлбэрийн </w:t>
      </w:r>
      <w:r w:rsidR="00D86A34" w:rsidRPr="00F10F52">
        <w:rPr>
          <w:rFonts w:ascii="Times New Roman" w:hAnsi="Times New Roman" w:cs="Times New Roman"/>
          <w:bCs/>
          <w:lang w:val="mn-MN"/>
        </w:rPr>
        <w:t>хөгжлийн бэрхшээлтэй хүүхдийг ЕБС-д сургах</w:t>
      </w:r>
      <w:r w:rsidR="00710319" w:rsidRPr="00F10F52">
        <w:rPr>
          <w:rFonts w:ascii="Times New Roman" w:hAnsi="Times New Roman" w:cs="Times New Roman"/>
          <w:bCs/>
          <w:lang w:val="mn-MN"/>
        </w:rPr>
        <w:t>,</w:t>
      </w:r>
      <w:r w:rsidR="00AB3F9B" w:rsidRPr="00F10F52">
        <w:rPr>
          <w:rFonts w:ascii="Times New Roman" w:hAnsi="Times New Roman" w:cs="Times New Roman"/>
          <w:bCs/>
          <w:lang w:val="mn-MN"/>
        </w:rPr>
        <w:t xml:space="preserve"> боловсролын тогтолцооны өөрчлөлт хийх, сургалтын</w:t>
      </w:r>
      <w:r w:rsidR="00D86A34" w:rsidRPr="00F10F52">
        <w:rPr>
          <w:rFonts w:ascii="Times New Roman" w:hAnsi="Times New Roman" w:cs="Times New Roman"/>
          <w:bCs/>
          <w:lang w:val="mn-MN"/>
        </w:rPr>
        <w:t xml:space="preserve"> орчныг бүрдүүлэх,</w:t>
      </w:r>
      <w:r w:rsidR="00AB3F9B" w:rsidRPr="00F10F52">
        <w:rPr>
          <w:rFonts w:ascii="Times New Roman" w:hAnsi="Times New Roman" w:cs="Times New Roman"/>
          <w:bCs/>
          <w:lang w:val="mn-MN"/>
        </w:rPr>
        <w:t xml:space="preserve"> </w:t>
      </w:r>
      <w:r w:rsidR="00D86A34" w:rsidRPr="00F10F52">
        <w:rPr>
          <w:rFonts w:ascii="Times New Roman" w:hAnsi="Times New Roman" w:cs="Times New Roman"/>
          <w:bCs/>
          <w:lang w:val="mn-MN"/>
        </w:rPr>
        <w:t>ажиллах багшийн мэргэжлийн бэлтгэлийг хангах, тэдний ажлын ачаалал, цалингийн урамшууллыг тогтоох,</w:t>
      </w:r>
      <w:r w:rsidR="00AB3F9B" w:rsidRPr="00F10F52">
        <w:rPr>
          <w:rFonts w:ascii="Times New Roman" w:hAnsi="Times New Roman" w:cs="Times New Roman"/>
          <w:bCs/>
          <w:lang w:val="mn-MN"/>
        </w:rPr>
        <w:t xml:space="preserve"> </w:t>
      </w:r>
      <w:r w:rsidR="00D86A34" w:rsidRPr="00F10F52">
        <w:rPr>
          <w:rFonts w:ascii="Times New Roman" w:hAnsi="Times New Roman" w:cs="Times New Roman"/>
          <w:bCs/>
          <w:lang w:val="mn-MN"/>
        </w:rPr>
        <w:t xml:space="preserve">багшлах боловсон хүчнийг </w:t>
      </w:r>
      <w:r w:rsidR="00AB3F9B" w:rsidRPr="00F10F52">
        <w:rPr>
          <w:rFonts w:ascii="Times New Roman" w:hAnsi="Times New Roman" w:cs="Times New Roman"/>
          <w:bCs/>
          <w:lang w:val="mn-MN"/>
        </w:rPr>
        <w:t xml:space="preserve">шинээр </w:t>
      </w:r>
      <w:r w:rsidR="00D86A34" w:rsidRPr="00F10F52">
        <w:rPr>
          <w:rFonts w:ascii="Times New Roman" w:hAnsi="Times New Roman" w:cs="Times New Roman"/>
          <w:bCs/>
          <w:lang w:val="mn-MN"/>
        </w:rPr>
        <w:t>бэлтгэх, хөгжлийн бэрхшээлтэй нэг хүүхдэд оногд</w:t>
      </w:r>
      <w:r w:rsidR="00297039" w:rsidRPr="00F10F52">
        <w:rPr>
          <w:rFonts w:ascii="Times New Roman" w:hAnsi="Times New Roman" w:cs="Times New Roman"/>
          <w:bCs/>
          <w:lang w:val="mn-MN"/>
        </w:rPr>
        <w:t>ох хувьсах зардлын хэмжээг тогт</w:t>
      </w:r>
      <w:r w:rsidR="00D86A34" w:rsidRPr="00F10F52">
        <w:rPr>
          <w:rFonts w:ascii="Times New Roman" w:hAnsi="Times New Roman" w:cs="Times New Roman"/>
          <w:bCs/>
          <w:lang w:val="mn-MN"/>
        </w:rPr>
        <w:t>оох,</w:t>
      </w:r>
      <w:r w:rsidR="00CD6C78" w:rsidRPr="00F10F52">
        <w:rPr>
          <w:rFonts w:ascii="Times New Roman" w:hAnsi="Times New Roman" w:cs="Times New Roman"/>
          <w:bCs/>
          <w:lang w:val="mn-MN"/>
        </w:rPr>
        <w:t xml:space="preserve"> хүүхдээ судалж үнэлэн </w:t>
      </w:r>
      <w:r w:rsidR="00D86A34" w:rsidRPr="00F10F52">
        <w:rPr>
          <w:rFonts w:ascii="Times New Roman" w:hAnsi="Times New Roman" w:cs="Times New Roman"/>
          <w:bCs/>
          <w:lang w:val="mn-MN"/>
        </w:rPr>
        <w:t xml:space="preserve"> боло</w:t>
      </w:r>
      <w:r w:rsidR="00CD6C78" w:rsidRPr="00F10F52">
        <w:rPr>
          <w:rFonts w:ascii="Times New Roman" w:hAnsi="Times New Roman" w:cs="Times New Roman"/>
          <w:bCs/>
          <w:lang w:val="mn-MN"/>
        </w:rPr>
        <w:t xml:space="preserve">всролын хэрэгцээг нь зөв </w:t>
      </w:r>
      <w:r w:rsidR="00F10F52" w:rsidRPr="00F10F52">
        <w:rPr>
          <w:rFonts w:ascii="Times New Roman" w:hAnsi="Times New Roman" w:cs="Times New Roman"/>
          <w:lang w:val="mn-MN"/>
        </w:rPr>
        <w:t>тогтоож</w:t>
      </w:r>
      <w:r w:rsidR="00CD6C78" w:rsidRPr="00F10F52">
        <w:rPr>
          <w:rFonts w:ascii="Times New Roman" w:hAnsi="Times New Roman" w:cs="Times New Roman"/>
          <w:bCs/>
          <w:lang w:val="mn-MN"/>
        </w:rPr>
        <w:t xml:space="preserve"> </w:t>
      </w:r>
      <w:r w:rsidR="00710319" w:rsidRPr="00F10F52">
        <w:rPr>
          <w:rFonts w:ascii="Times New Roman" w:hAnsi="Times New Roman" w:cs="Times New Roman"/>
          <w:bCs/>
          <w:lang w:val="mn-MN"/>
        </w:rPr>
        <w:t>хүүхэдтэй ажиллах ганцаарчил</w:t>
      </w:r>
      <w:r w:rsidR="00CD6C78" w:rsidRPr="00F10F52">
        <w:rPr>
          <w:rFonts w:ascii="Times New Roman" w:hAnsi="Times New Roman" w:cs="Times New Roman"/>
          <w:bCs/>
          <w:lang w:val="mn-MN"/>
        </w:rPr>
        <w:t>сан сургалтын хөтөлбөрийг зохиож ажиллаж сургах</w:t>
      </w:r>
      <w:r w:rsidR="00D86A34" w:rsidRPr="00F10F52">
        <w:rPr>
          <w:rFonts w:ascii="Times New Roman" w:hAnsi="Times New Roman" w:cs="Times New Roman"/>
          <w:bCs/>
          <w:lang w:val="mn-MN"/>
        </w:rPr>
        <w:t xml:space="preserve">  гэх мэт  олон тулгамдсан асуудлууд оновчтой шийдлээ хүлээсээр байна. </w:t>
      </w:r>
      <w:r w:rsidR="00AB3F9B" w:rsidRPr="00F10F52">
        <w:rPr>
          <w:rFonts w:ascii="Times New Roman" w:hAnsi="Times New Roman" w:cs="Times New Roman"/>
          <w:bCs/>
          <w:lang w:val="mn-MN"/>
        </w:rPr>
        <w:t>Э</w:t>
      </w:r>
      <w:r w:rsidR="00CD6C78" w:rsidRPr="00F10F52">
        <w:rPr>
          <w:rFonts w:ascii="Times New Roman" w:hAnsi="Times New Roman" w:cs="Times New Roman"/>
          <w:bCs/>
          <w:lang w:val="mn-MN"/>
        </w:rPr>
        <w:t xml:space="preserve">дгээр </w:t>
      </w:r>
      <w:r w:rsidR="00AB3F9B" w:rsidRPr="00F10F52">
        <w:rPr>
          <w:rFonts w:ascii="Times New Roman" w:hAnsi="Times New Roman" w:cs="Times New Roman"/>
          <w:bCs/>
          <w:lang w:val="mn-MN"/>
        </w:rPr>
        <w:t xml:space="preserve">тулгамдсан асуудлын нэг нь хөгжлийн бэрхшээлтэй ялангуяа </w:t>
      </w:r>
      <w:r w:rsidR="00807C88" w:rsidRPr="00F10F52">
        <w:rPr>
          <w:rFonts w:ascii="Times New Roman" w:hAnsi="Times New Roman" w:cs="Times New Roman"/>
          <w:bCs/>
          <w:lang w:val="mn-MN"/>
        </w:rPr>
        <w:t xml:space="preserve">сургуулийн </w:t>
      </w:r>
      <w:r w:rsidR="00AB3F9B" w:rsidRPr="00F10F52">
        <w:rPr>
          <w:rFonts w:ascii="Times New Roman" w:hAnsi="Times New Roman" w:cs="Times New Roman"/>
          <w:lang w:val="mn-MN"/>
        </w:rPr>
        <w:t>өмнөх насны болон бага ангийн сурагчдыг оюуны хөгжлийн хувьд бэрхшээл, сааталтай эсэхийг</w:t>
      </w:r>
      <w:r w:rsidR="00895C49" w:rsidRPr="00F10F52">
        <w:rPr>
          <w:rFonts w:ascii="Times New Roman" w:hAnsi="Times New Roman" w:cs="Times New Roman"/>
          <w:lang w:val="mn-MN"/>
        </w:rPr>
        <w:t xml:space="preserve"> </w:t>
      </w:r>
      <w:r w:rsidR="00AB3F9B" w:rsidRPr="00F10F52">
        <w:rPr>
          <w:rFonts w:ascii="Times New Roman" w:hAnsi="Times New Roman" w:cs="Times New Roman"/>
          <w:bCs/>
          <w:lang w:val="mn-MN"/>
        </w:rPr>
        <w:t>судалж үнэлэн,</w:t>
      </w:r>
      <w:r w:rsidR="00550038" w:rsidRPr="00F10F52">
        <w:rPr>
          <w:rFonts w:ascii="Times New Roman" w:hAnsi="Times New Roman" w:cs="Times New Roman"/>
          <w:bCs/>
          <w:lang w:val="mn-MN"/>
        </w:rPr>
        <w:t xml:space="preserve"> улмаар тухайн хүүхдийн бие физиологи, мэдрэл-сэтгэцийн байдалд тохируулан боловсрол сургалтын үйлчилгээг </w:t>
      </w:r>
      <w:r w:rsidR="00895C49" w:rsidRPr="00F10F52">
        <w:rPr>
          <w:rFonts w:ascii="Times New Roman" w:hAnsi="Times New Roman" w:cs="Times New Roman"/>
          <w:bCs/>
          <w:lang w:val="mn-MN"/>
        </w:rPr>
        <w:t xml:space="preserve">цаг алдалгүй </w:t>
      </w:r>
      <w:r w:rsidR="00550038" w:rsidRPr="00F10F52">
        <w:rPr>
          <w:rFonts w:ascii="Times New Roman" w:hAnsi="Times New Roman" w:cs="Times New Roman"/>
          <w:bCs/>
          <w:lang w:val="mn-MN"/>
        </w:rPr>
        <w:t>үзүүлж</w:t>
      </w:r>
      <w:r w:rsidR="00AB3F9B" w:rsidRPr="00F10F52">
        <w:rPr>
          <w:rFonts w:ascii="Times New Roman" w:hAnsi="Times New Roman" w:cs="Times New Roman"/>
          <w:bCs/>
          <w:lang w:val="mn-MN"/>
        </w:rPr>
        <w:t>, ганцаарчилсан сургалтын хөтөлбөрөөр</w:t>
      </w:r>
      <w:r w:rsidR="00895C49" w:rsidRPr="00F10F52">
        <w:rPr>
          <w:rFonts w:ascii="Times New Roman" w:hAnsi="Times New Roman" w:cs="Times New Roman"/>
          <w:bCs/>
          <w:lang w:val="mn-MN"/>
        </w:rPr>
        <w:t xml:space="preserve"> ажиллах шаардлага гарч</w:t>
      </w:r>
      <w:r w:rsidR="00AB3F9B" w:rsidRPr="00F10F52">
        <w:rPr>
          <w:rFonts w:ascii="Times New Roman" w:hAnsi="Times New Roman" w:cs="Times New Roman"/>
          <w:bCs/>
          <w:lang w:val="mn-MN"/>
        </w:rPr>
        <w:t xml:space="preserve"> байна. </w:t>
      </w:r>
      <w:r w:rsidR="00F10F52">
        <w:rPr>
          <w:rFonts w:ascii="Times New Roman" w:hAnsi="Times New Roman" w:cs="Times New Roman"/>
          <w:b/>
          <w:lang w:val="mn-MN"/>
        </w:rPr>
        <w:t xml:space="preserve"> </w:t>
      </w:r>
      <w:r w:rsidR="00CD6C78" w:rsidRPr="00F10F52">
        <w:rPr>
          <w:rFonts w:ascii="Times New Roman" w:hAnsi="Times New Roman" w:cs="Times New Roman"/>
          <w:bCs/>
          <w:lang w:val="mn-MN"/>
        </w:rPr>
        <w:t xml:space="preserve">Манай улс </w:t>
      </w:r>
      <w:r w:rsidR="00895C49" w:rsidRPr="00F10F52">
        <w:rPr>
          <w:rFonts w:ascii="Times New Roman" w:hAnsi="Times New Roman" w:cs="Times New Roman"/>
          <w:bCs/>
          <w:lang w:val="mn-MN"/>
        </w:rPr>
        <w:t xml:space="preserve">оюуны хөгжлийн бэрхшээлтэй хүүхдийг </w:t>
      </w:r>
      <w:r w:rsidR="00CD6C78" w:rsidRPr="00F10F52">
        <w:rPr>
          <w:rFonts w:ascii="Times New Roman" w:hAnsi="Times New Roman" w:cs="Times New Roman"/>
          <w:bCs/>
          <w:lang w:val="mn-MN"/>
        </w:rPr>
        <w:t>сэтгэ</w:t>
      </w:r>
      <w:r w:rsidR="00550038" w:rsidRPr="00F10F52">
        <w:rPr>
          <w:rFonts w:ascii="Times New Roman" w:hAnsi="Times New Roman" w:cs="Times New Roman"/>
          <w:bCs/>
          <w:lang w:val="mn-MN"/>
        </w:rPr>
        <w:t>ц мэдрэлийн эмч, согог зүйч</w:t>
      </w:r>
      <w:r w:rsidR="00CD6C78" w:rsidRPr="00F10F52">
        <w:rPr>
          <w:rFonts w:ascii="Times New Roman" w:hAnsi="Times New Roman" w:cs="Times New Roman"/>
          <w:bCs/>
          <w:lang w:val="mn-MN"/>
        </w:rPr>
        <w:t>,</w:t>
      </w:r>
      <w:r w:rsidR="003D4BFD" w:rsidRPr="00F10F52">
        <w:rPr>
          <w:rFonts w:ascii="Times New Roman" w:hAnsi="Times New Roman" w:cs="Times New Roman"/>
          <w:bCs/>
          <w:lang w:val="mn-MN"/>
        </w:rPr>
        <w:t xml:space="preserve"> хэл засалч</w:t>
      </w:r>
      <w:r w:rsidR="00A204A1" w:rsidRPr="00F10F52">
        <w:rPr>
          <w:rFonts w:ascii="Times New Roman" w:hAnsi="Times New Roman" w:cs="Times New Roman"/>
          <w:bCs/>
          <w:lang w:val="mn-MN"/>
        </w:rPr>
        <w:t>,</w:t>
      </w:r>
      <w:r w:rsidR="003D4BFD" w:rsidRPr="00F10F52">
        <w:rPr>
          <w:rFonts w:ascii="Times New Roman" w:hAnsi="Times New Roman" w:cs="Times New Roman"/>
          <w:bCs/>
          <w:lang w:val="mn-MN"/>
        </w:rPr>
        <w:t xml:space="preserve"> багш, нарийн мэргэжлийн эмч нараас</w:t>
      </w:r>
      <w:r w:rsidR="00CD6C78" w:rsidRPr="00F10F52">
        <w:rPr>
          <w:rFonts w:ascii="Times New Roman" w:hAnsi="Times New Roman" w:cs="Times New Roman"/>
          <w:bCs/>
          <w:lang w:val="mn-MN"/>
        </w:rPr>
        <w:t xml:space="preserve"> бүрдсэн эмнэлэг сурган хүмүүжүүлэх комиссын үзлэгт хамруулан</w:t>
      </w:r>
      <w:r w:rsidR="00A204A1" w:rsidRPr="00F10F52">
        <w:rPr>
          <w:rFonts w:ascii="Times New Roman" w:hAnsi="Times New Roman" w:cs="Times New Roman"/>
          <w:bCs/>
          <w:lang w:val="mn-MN"/>
        </w:rPr>
        <w:t xml:space="preserve"> </w:t>
      </w:r>
      <w:r w:rsidR="00807C88" w:rsidRPr="00F10F52">
        <w:rPr>
          <w:rFonts w:ascii="Times New Roman" w:hAnsi="Times New Roman" w:cs="Times New Roman"/>
          <w:bCs/>
          <w:lang w:val="mn-MN"/>
        </w:rPr>
        <w:t>судалж</w:t>
      </w:r>
      <w:r w:rsidR="00CD6C78" w:rsidRPr="00F10F52">
        <w:rPr>
          <w:rFonts w:ascii="Times New Roman" w:hAnsi="Times New Roman" w:cs="Times New Roman"/>
          <w:bCs/>
          <w:lang w:val="mn-MN"/>
        </w:rPr>
        <w:t xml:space="preserve">  эцсийн онош дүгнэлтийг гаргаж ирсэн өөрийн гэсэн туршлага уламжлалтай ч  </w:t>
      </w:r>
      <w:r w:rsidR="00807C88" w:rsidRPr="00F10F52">
        <w:rPr>
          <w:rFonts w:ascii="Times New Roman" w:hAnsi="Times New Roman" w:cs="Times New Roman"/>
          <w:bCs/>
          <w:lang w:val="mn-MN"/>
        </w:rPr>
        <w:t xml:space="preserve">энэ нь </w:t>
      </w:r>
      <w:r w:rsidR="00CD6C78" w:rsidRPr="00F10F52">
        <w:rPr>
          <w:rFonts w:ascii="Times New Roman" w:hAnsi="Times New Roman" w:cs="Times New Roman"/>
          <w:bCs/>
          <w:lang w:val="mn-MN"/>
        </w:rPr>
        <w:t xml:space="preserve"> өнөөгийн нөхцөлд </w:t>
      </w:r>
      <w:r w:rsidR="00807C88" w:rsidRPr="00F10F52">
        <w:rPr>
          <w:rFonts w:ascii="Times New Roman" w:hAnsi="Times New Roman" w:cs="Times New Roman"/>
          <w:bCs/>
          <w:lang w:val="mn-MN"/>
        </w:rPr>
        <w:t>явцуу</w:t>
      </w:r>
      <w:r w:rsidR="003D4BFD" w:rsidRPr="00F10F52">
        <w:rPr>
          <w:rFonts w:ascii="Times New Roman" w:hAnsi="Times New Roman" w:cs="Times New Roman"/>
          <w:bCs/>
          <w:lang w:val="mn-MN"/>
        </w:rPr>
        <w:t>,</w:t>
      </w:r>
      <w:r w:rsidR="00807C88" w:rsidRPr="00F10F52">
        <w:rPr>
          <w:rFonts w:ascii="Times New Roman" w:hAnsi="Times New Roman" w:cs="Times New Roman"/>
          <w:bCs/>
          <w:lang w:val="mn-MN"/>
        </w:rPr>
        <w:t xml:space="preserve"> хүртээмж муутайн дээр судалгааны </w:t>
      </w:r>
      <w:r w:rsidR="003D4BFD" w:rsidRPr="00F10F52">
        <w:rPr>
          <w:rFonts w:ascii="Times New Roman" w:hAnsi="Times New Roman" w:cs="Times New Roman"/>
          <w:bCs/>
          <w:lang w:val="mn-MN"/>
        </w:rPr>
        <w:t xml:space="preserve">шинэлэг арга, </w:t>
      </w:r>
      <w:r w:rsidR="00807C88" w:rsidRPr="00F10F52">
        <w:rPr>
          <w:rFonts w:ascii="Times New Roman" w:hAnsi="Times New Roman" w:cs="Times New Roman"/>
          <w:bCs/>
          <w:lang w:val="mn-MN"/>
        </w:rPr>
        <w:t xml:space="preserve">ялангуяа </w:t>
      </w:r>
      <w:r w:rsidR="003D4BFD" w:rsidRPr="00F10F52">
        <w:rPr>
          <w:rFonts w:ascii="Times New Roman" w:hAnsi="Times New Roman" w:cs="Times New Roman"/>
          <w:bCs/>
          <w:lang w:val="mn-MN"/>
        </w:rPr>
        <w:t xml:space="preserve">зарим нэг  сорилыг </w:t>
      </w:r>
      <w:r w:rsidR="00561642" w:rsidRPr="00F10F52">
        <w:rPr>
          <w:rFonts w:ascii="Times New Roman" w:hAnsi="Times New Roman" w:cs="Times New Roman"/>
          <w:bCs/>
          <w:lang w:val="mn-MN"/>
        </w:rPr>
        <w:t>турши</w:t>
      </w:r>
      <w:r w:rsidR="003D4BFD" w:rsidRPr="00F10F52">
        <w:rPr>
          <w:rFonts w:ascii="Times New Roman" w:hAnsi="Times New Roman" w:cs="Times New Roman"/>
          <w:bCs/>
          <w:lang w:val="mn-MN"/>
        </w:rPr>
        <w:t xml:space="preserve">ж  үр дүнг тооцох замаар, практикт  </w:t>
      </w:r>
      <w:r w:rsidR="00807C88" w:rsidRPr="00F10F52">
        <w:rPr>
          <w:rFonts w:ascii="Times New Roman" w:hAnsi="Times New Roman" w:cs="Times New Roman"/>
          <w:bCs/>
          <w:lang w:val="mn-MN"/>
        </w:rPr>
        <w:t>нэвтрүүлэх шаардлагатай</w:t>
      </w:r>
      <w:r w:rsidR="00561642" w:rsidRPr="00F10F52">
        <w:rPr>
          <w:rFonts w:ascii="Times New Roman" w:hAnsi="Times New Roman" w:cs="Times New Roman"/>
          <w:bCs/>
          <w:lang w:val="mn-MN"/>
        </w:rPr>
        <w:t xml:space="preserve"> </w:t>
      </w:r>
      <w:r w:rsidR="00807C88" w:rsidRPr="00F10F52">
        <w:rPr>
          <w:rFonts w:ascii="Times New Roman" w:hAnsi="Times New Roman" w:cs="Times New Roman"/>
          <w:bCs/>
          <w:lang w:val="mn-MN"/>
        </w:rPr>
        <w:t xml:space="preserve"> байгаа</w:t>
      </w:r>
      <w:r w:rsidR="00561642" w:rsidRPr="00F10F52">
        <w:rPr>
          <w:rFonts w:ascii="Times New Roman" w:hAnsi="Times New Roman" w:cs="Times New Roman"/>
          <w:bCs/>
          <w:lang w:val="mn-MN"/>
        </w:rPr>
        <w:t xml:space="preserve">г оюуны хөгжлийн бэрхшээлтэй хүүхдийн тусгай сургуулийн согог зүйч мэргэжлийн багш нар тэмдэглэж </w:t>
      </w:r>
      <w:r w:rsidR="00807C88" w:rsidRPr="00F10F52">
        <w:rPr>
          <w:rFonts w:ascii="Times New Roman" w:hAnsi="Times New Roman" w:cs="Times New Roman"/>
          <w:lang w:val="mn-MN"/>
        </w:rPr>
        <w:t>билээ.</w:t>
      </w:r>
      <w:r w:rsidR="00807C88" w:rsidRPr="00F10F52">
        <w:rPr>
          <w:rFonts w:ascii="Times New Roman" w:hAnsi="Times New Roman" w:cs="Times New Roman"/>
          <w:bCs/>
          <w:lang w:val="mn-MN"/>
        </w:rPr>
        <w:t xml:space="preserve"> </w:t>
      </w:r>
      <w:r w:rsidR="003D4BFD" w:rsidRPr="00F10F52">
        <w:rPr>
          <w:rFonts w:ascii="Times New Roman" w:hAnsi="Times New Roman" w:cs="Times New Roman"/>
          <w:bCs/>
          <w:lang w:val="mn-MN"/>
        </w:rPr>
        <w:t xml:space="preserve">Энэхүү </w:t>
      </w:r>
      <w:r w:rsidR="00710319" w:rsidRPr="00F10F52">
        <w:rPr>
          <w:rFonts w:ascii="Times New Roman" w:hAnsi="Times New Roman" w:cs="Times New Roman"/>
          <w:bCs/>
          <w:lang w:val="mn-MN"/>
        </w:rPr>
        <w:t xml:space="preserve">хэрэгцээ шаардлагатай уялдуулан БСШУЯам, 2010-2012онуудад </w:t>
      </w:r>
      <w:r w:rsidR="00807C88" w:rsidRPr="00F10F52">
        <w:rPr>
          <w:rFonts w:ascii="Times New Roman" w:hAnsi="Times New Roman" w:cs="Times New Roman"/>
          <w:bCs/>
          <w:lang w:val="mn-MN"/>
        </w:rPr>
        <w:t>“Адра”</w:t>
      </w:r>
      <w:r w:rsidR="00297039" w:rsidRPr="00F10F52">
        <w:rPr>
          <w:rFonts w:ascii="Times New Roman" w:hAnsi="Times New Roman" w:cs="Times New Roman"/>
          <w:bCs/>
          <w:lang w:val="mn-MN"/>
        </w:rPr>
        <w:t xml:space="preserve"> олон улсын байгуул</w:t>
      </w:r>
      <w:r w:rsidR="00710319" w:rsidRPr="00F10F52">
        <w:rPr>
          <w:rFonts w:ascii="Times New Roman" w:hAnsi="Times New Roman" w:cs="Times New Roman"/>
          <w:bCs/>
          <w:lang w:val="mn-MN"/>
        </w:rPr>
        <w:t>лага, Европын холбоо, АХБанкны Боловсролын хөгжлийн хөтөлбөрүүдтэй хамтран хөгжлийн бэрхшээлтэй хүүхдийг судлах үнэлэх арга зүй, хэрэглэгдэхүүн, зөвлөмжийг боловсруулах,</w:t>
      </w:r>
      <w:r w:rsidR="001C7A83" w:rsidRPr="00F10F52">
        <w:rPr>
          <w:rFonts w:ascii="Times New Roman" w:hAnsi="Times New Roman" w:cs="Times New Roman"/>
          <w:bCs/>
          <w:lang w:val="mn-MN"/>
        </w:rPr>
        <w:t>хот хөдөөд</w:t>
      </w:r>
      <w:r w:rsidR="00710319" w:rsidRPr="00F10F52">
        <w:rPr>
          <w:rFonts w:ascii="Times New Roman" w:hAnsi="Times New Roman" w:cs="Times New Roman"/>
          <w:bCs/>
          <w:lang w:val="mn-MN"/>
        </w:rPr>
        <w:t xml:space="preserve"> сургагч багш нарыг бэлтгэх ажлыг</w:t>
      </w:r>
      <w:r w:rsidR="001C7A83" w:rsidRPr="00F10F52">
        <w:rPr>
          <w:rFonts w:ascii="Times New Roman" w:hAnsi="Times New Roman" w:cs="Times New Roman"/>
          <w:bCs/>
          <w:lang w:val="mn-MN"/>
        </w:rPr>
        <w:t xml:space="preserve"> төсөл хөтөлбөрийн хүрээнд</w:t>
      </w:r>
      <w:r w:rsidR="00710319" w:rsidRPr="00F10F52">
        <w:rPr>
          <w:rFonts w:ascii="Times New Roman" w:hAnsi="Times New Roman" w:cs="Times New Roman"/>
          <w:bCs/>
          <w:lang w:val="mn-MN"/>
        </w:rPr>
        <w:t xml:space="preserve"> удаа дараа зохион байгуулсан нь үр дүнтэй ажлын</w:t>
      </w:r>
      <w:r w:rsidR="001C7A83" w:rsidRPr="00F10F52">
        <w:rPr>
          <w:rFonts w:ascii="Times New Roman" w:hAnsi="Times New Roman" w:cs="Times New Roman"/>
          <w:bCs/>
          <w:lang w:val="mn-MN"/>
        </w:rPr>
        <w:t xml:space="preserve"> эхлэл болсон. </w:t>
      </w:r>
      <w:r w:rsidR="00EA6737" w:rsidRPr="00F10F52">
        <w:rPr>
          <w:rFonts w:ascii="Times New Roman" w:hAnsi="Times New Roman" w:cs="Times New Roman"/>
          <w:bCs/>
          <w:lang w:val="mn-MN"/>
        </w:rPr>
        <w:t xml:space="preserve">Дээрхи ажлын хүрээнд </w:t>
      </w:r>
      <w:r w:rsidR="001C7A83" w:rsidRPr="00F10F52">
        <w:rPr>
          <w:rFonts w:ascii="Times New Roman" w:hAnsi="Times New Roman" w:cs="Times New Roman"/>
          <w:bCs/>
          <w:lang w:val="mn-MN"/>
        </w:rPr>
        <w:t xml:space="preserve">бид оюуны хомсдолыг оношлох  Векслерийн сорилын даалгавартай ижил төстэй, </w:t>
      </w:r>
      <w:r w:rsidR="00EA6737" w:rsidRPr="00F10F52">
        <w:rPr>
          <w:rFonts w:ascii="Times New Roman" w:hAnsi="Times New Roman" w:cs="Times New Roman"/>
          <w:bCs/>
          <w:lang w:val="mn-MN"/>
        </w:rPr>
        <w:t xml:space="preserve">Оросын эрдэмтдийн </w:t>
      </w:r>
      <w:r w:rsidR="001C7A83" w:rsidRPr="00F10F52">
        <w:rPr>
          <w:rFonts w:ascii="Times New Roman" w:hAnsi="Times New Roman" w:cs="Times New Roman"/>
          <w:bCs/>
          <w:lang w:val="mn-MN"/>
        </w:rPr>
        <w:t xml:space="preserve">хувилбаржуулан </w:t>
      </w:r>
      <w:r w:rsidR="00EA6737" w:rsidRPr="00F10F52">
        <w:rPr>
          <w:rFonts w:ascii="Times New Roman" w:hAnsi="Times New Roman" w:cs="Times New Roman"/>
          <w:bCs/>
          <w:lang w:val="mn-MN"/>
        </w:rPr>
        <w:t>боловсруулж туршсан</w:t>
      </w:r>
      <w:r w:rsidR="001C7A83" w:rsidRPr="00F10F52">
        <w:rPr>
          <w:rFonts w:ascii="Times New Roman" w:hAnsi="Times New Roman" w:cs="Times New Roman"/>
          <w:bCs/>
          <w:lang w:val="mn-MN"/>
        </w:rPr>
        <w:t xml:space="preserve"> “</w:t>
      </w:r>
      <w:r w:rsidR="00550038" w:rsidRPr="00F10F52">
        <w:rPr>
          <w:rFonts w:ascii="Times New Roman" w:hAnsi="Times New Roman" w:cs="Times New Roman"/>
          <w:bCs/>
          <w:lang w:val="mn-MN"/>
        </w:rPr>
        <w:t>илүү</w:t>
      </w:r>
      <w:r w:rsidR="00297039" w:rsidRPr="00F10F52">
        <w:rPr>
          <w:rFonts w:ascii="Times New Roman" w:hAnsi="Times New Roman" w:cs="Times New Roman"/>
          <w:bCs/>
          <w:lang w:val="mn-MN"/>
        </w:rPr>
        <w:t>г хасах”, “коганы арга зүй”, “к</w:t>
      </w:r>
      <w:r w:rsidR="00297039" w:rsidRPr="00F10F52">
        <w:rPr>
          <w:rFonts w:ascii="Times New Roman" w:hAnsi="Times New Roman" w:cs="Times New Roman"/>
          <w:bCs/>
        </w:rPr>
        <w:t>о</w:t>
      </w:r>
      <w:r w:rsidR="00550038" w:rsidRPr="00F10F52">
        <w:rPr>
          <w:rFonts w:ascii="Times New Roman" w:hAnsi="Times New Roman" w:cs="Times New Roman"/>
          <w:bCs/>
          <w:lang w:val="mn-MN"/>
        </w:rPr>
        <w:t xml:space="preserve">оссын шоо”, “дам тогтоолтыг үнэлэх аргачлал, эд зүйлсийг ангилах, үйл явдлын дарааллыг олох гэх мэт </w:t>
      </w:r>
      <w:r w:rsidR="005D769E" w:rsidRPr="00F10F52">
        <w:rPr>
          <w:rFonts w:ascii="Times New Roman" w:hAnsi="Times New Roman" w:cs="Times New Roman"/>
          <w:bCs/>
          <w:lang w:val="mn-MN"/>
        </w:rPr>
        <w:t>сорилын арга зүй</w:t>
      </w:r>
      <w:r w:rsidR="00A204A1" w:rsidRPr="00F10F52">
        <w:rPr>
          <w:rFonts w:ascii="Times New Roman" w:hAnsi="Times New Roman" w:cs="Times New Roman"/>
          <w:bCs/>
          <w:lang w:val="mn-MN"/>
        </w:rPr>
        <w:t xml:space="preserve">, аргачлалыг </w:t>
      </w:r>
      <w:r w:rsidR="00EA6737" w:rsidRPr="00F10F52">
        <w:rPr>
          <w:rFonts w:ascii="Times New Roman" w:hAnsi="Times New Roman" w:cs="Times New Roman"/>
          <w:bCs/>
          <w:lang w:val="mn-MN"/>
        </w:rPr>
        <w:t xml:space="preserve"> </w:t>
      </w:r>
      <w:r w:rsidR="001C7A83" w:rsidRPr="00F10F52">
        <w:rPr>
          <w:rFonts w:ascii="Times New Roman" w:hAnsi="Times New Roman" w:cs="Times New Roman"/>
          <w:bCs/>
          <w:lang w:val="mn-MN"/>
        </w:rPr>
        <w:t xml:space="preserve">орчуулан боловсруулж, </w:t>
      </w:r>
      <w:r w:rsidR="00550038" w:rsidRPr="00F10F52">
        <w:rPr>
          <w:rFonts w:ascii="Times New Roman" w:hAnsi="Times New Roman" w:cs="Times New Roman"/>
          <w:bCs/>
          <w:lang w:val="mn-MN"/>
        </w:rPr>
        <w:t xml:space="preserve">туршиж, сургагч багш нарт </w:t>
      </w:r>
      <w:r w:rsidR="001C7A83" w:rsidRPr="00F10F52">
        <w:rPr>
          <w:rFonts w:ascii="Times New Roman" w:hAnsi="Times New Roman" w:cs="Times New Roman"/>
          <w:bCs/>
          <w:lang w:val="mn-MN"/>
        </w:rPr>
        <w:t xml:space="preserve">зааж </w:t>
      </w:r>
      <w:r w:rsidR="00550038" w:rsidRPr="00F10F52">
        <w:rPr>
          <w:rFonts w:ascii="Times New Roman" w:hAnsi="Times New Roman" w:cs="Times New Roman"/>
          <w:bCs/>
          <w:lang w:val="mn-MN"/>
        </w:rPr>
        <w:t>түгээ</w:t>
      </w:r>
      <w:r w:rsidR="001C7A83" w:rsidRPr="00F10F52">
        <w:rPr>
          <w:rFonts w:ascii="Times New Roman" w:hAnsi="Times New Roman" w:cs="Times New Roman"/>
          <w:bCs/>
          <w:lang w:val="mn-MN"/>
        </w:rPr>
        <w:t>н дэлгэрүүлсэ</w:t>
      </w:r>
      <w:r w:rsidR="00A204A1" w:rsidRPr="00F10F52">
        <w:rPr>
          <w:rFonts w:ascii="Times New Roman" w:hAnsi="Times New Roman" w:cs="Times New Roman"/>
          <w:bCs/>
          <w:lang w:val="mn-MN"/>
        </w:rPr>
        <w:t>н.</w:t>
      </w:r>
      <w:r w:rsidR="001C7A83" w:rsidRPr="00F10F52">
        <w:rPr>
          <w:rFonts w:ascii="Times New Roman" w:hAnsi="Times New Roman" w:cs="Times New Roman"/>
          <w:bCs/>
          <w:lang w:val="mn-MN"/>
        </w:rPr>
        <w:t xml:space="preserve"> Дээрхи сорилуудыг туршиж судалгаа хийсэн сургагч багш нарын мэдүүлгээс үзэхэд сургуулийн өмнөх насны болон бага ангийн сурагчдыг судлахад хэрэглэж болохуйц арга зүй, аргачлалууд болох нь тогтоогдсон. </w:t>
      </w:r>
      <w:r w:rsidR="005F2C88" w:rsidRPr="00F10F52">
        <w:rPr>
          <w:rFonts w:ascii="Times New Roman" w:hAnsi="Times New Roman" w:cs="Times New Roman"/>
          <w:bCs/>
          <w:lang w:val="mn-MN"/>
        </w:rPr>
        <w:t xml:space="preserve">Оюуны хомсдол, бэрхшээлийн тухай асуудлыг хүний нийгмийн түүхэн хөгжлийн явцад анагаах ухаан, хүний эрх, хүмүүнлэгийн талаас </w:t>
      </w:r>
      <w:r w:rsidR="00550038" w:rsidRPr="00F10F52">
        <w:rPr>
          <w:rFonts w:ascii="Times New Roman" w:hAnsi="Times New Roman" w:cs="Times New Roman"/>
          <w:bCs/>
          <w:lang w:val="mn-MN"/>
        </w:rPr>
        <w:t xml:space="preserve">авч үзэж түүнд хандах хандлага уураг тархины бодит гэмтэл, танин мэдэхүйн өөрчлөлт гэсэн анагаахын ойлголтоос эхлэн </w:t>
      </w:r>
      <w:r w:rsidR="00D8031B" w:rsidRPr="00F10F52">
        <w:rPr>
          <w:rFonts w:ascii="Times New Roman" w:hAnsi="Times New Roman" w:cs="Times New Roman"/>
          <w:bCs/>
          <w:lang w:val="mn-MN"/>
        </w:rPr>
        <w:t xml:space="preserve">тухайн хүнд үзүүлэх дэмжлэг туслалцааны түвшинтэй холбон авч үзэх байдал хүртэл </w:t>
      </w:r>
      <w:r w:rsidR="005F2C88" w:rsidRPr="00F10F52">
        <w:rPr>
          <w:rFonts w:ascii="Times New Roman" w:hAnsi="Times New Roman" w:cs="Times New Roman"/>
          <w:bCs/>
          <w:lang w:val="mn-MN"/>
        </w:rPr>
        <w:t>нилээд</w:t>
      </w:r>
      <w:r w:rsidR="00D8031B" w:rsidRPr="00F10F52">
        <w:rPr>
          <w:rFonts w:ascii="Times New Roman" w:hAnsi="Times New Roman" w:cs="Times New Roman"/>
          <w:bCs/>
          <w:lang w:val="mn-MN"/>
        </w:rPr>
        <w:t xml:space="preserve"> өөрчлөлтүүд гарсаар ирсэн</w:t>
      </w:r>
      <w:r w:rsidR="005F2C88" w:rsidRPr="00F10F52">
        <w:rPr>
          <w:rFonts w:ascii="Times New Roman" w:hAnsi="Times New Roman" w:cs="Times New Roman"/>
          <w:bCs/>
          <w:lang w:val="mn-MN"/>
        </w:rPr>
        <w:t>.</w:t>
      </w:r>
      <w:r w:rsidR="00F10F52">
        <w:rPr>
          <w:rFonts w:ascii="Times New Roman" w:hAnsi="Times New Roman" w:cs="Times New Roman"/>
          <w:bCs/>
          <w:lang w:val="mn-MN"/>
        </w:rPr>
        <w:t xml:space="preserve"> </w:t>
      </w:r>
      <w:r w:rsidR="00F36EE0" w:rsidRPr="00F10F52">
        <w:rPr>
          <w:rFonts w:ascii="Times New Roman" w:hAnsi="Times New Roman" w:cs="Times New Roman"/>
          <w:bCs/>
          <w:lang w:val="mn-MN"/>
        </w:rPr>
        <w:t xml:space="preserve">Оюуны хөгжлийн бэрхшээлийг </w:t>
      </w:r>
      <w:r w:rsidR="00E01F22" w:rsidRPr="00F10F52">
        <w:rPr>
          <w:rFonts w:ascii="Times New Roman" w:hAnsi="Times New Roman" w:cs="Times New Roman"/>
          <w:bCs/>
        </w:rPr>
        <w:t>О</w:t>
      </w:r>
      <w:r w:rsidR="00D64F05" w:rsidRPr="00F10F52">
        <w:rPr>
          <w:rFonts w:ascii="Times New Roman" w:hAnsi="Times New Roman" w:cs="Times New Roman"/>
          <w:bCs/>
          <w:lang w:val="mn-MN"/>
        </w:rPr>
        <w:t>лон улсын нийгэмлэг “хувь хүний оюун ухаан, дасан зохицох</w:t>
      </w:r>
      <w:r w:rsidR="00D8031B" w:rsidRPr="00F10F52">
        <w:rPr>
          <w:rFonts w:ascii="Times New Roman" w:hAnsi="Times New Roman" w:cs="Times New Roman"/>
          <w:bCs/>
          <w:lang w:val="mn-MN"/>
        </w:rPr>
        <w:t xml:space="preserve">, </w:t>
      </w:r>
      <w:r w:rsidR="00D64F05" w:rsidRPr="00F10F52">
        <w:rPr>
          <w:rFonts w:ascii="Times New Roman" w:hAnsi="Times New Roman" w:cs="Times New Roman"/>
          <w:bCs/>
          <w:lang w:val="mn-MN"/>
        </w:rPr>
        <w:t xml:space="preserve">үйл ажиллагаа, нийгмийн болон амьдралын чадварууд үлэмж хязгаарлагдмал байдалтай байх бөгөөд энэ бэрхшээл 18 хүртэлх насанд үүсдэг” гэж тодорхойлсон / </w:t>
      </w:r>
      <w:r w:rsidR="00E01F22" w:rsidRPr="00F10F52">
        <w:rPr>
          <w:rFonts w:ascii="Times New Roman" w:hAnsi="Times New Roman" w:cs="Times New Roman"/>
          <w:bCs/>
        </w:rPr>
        <w:t xml:space="preserve">AAIDD, 2010 </w:t>
      </w:r>
      <w:r w:rsidR="00D64F05" w:rsidRPr="00F10F52">
        <w:rPr>
          <w:rFonts w:ascii="Times New Roman" w:hAnsi="Times New Roman" w:cs="Times New Roman"/>
          <w:bCs/>
          <w:lang w:val="mn-MN"/>
        </w:rPr>
        <w:t>/</w:t>
      </w:r>
      <w:r w:rsidR="00E01F22" w:rsidRPr="00F10F52">
        <w:rPr>
          <w:rFonts w:ascii="Times New Roman" w:hAnsi="Times New Roman" w:cs="Times New Roman"/>
          <w:bCs/>
        </w:rPr>
        <w:t xml:space="preserve"> </w:t>
      </w:r>
      <w:r w:rsidR="00E01F22" w:rsidRPr="00F10F52">
        <w:rPr>
          <w:rFonts w:ascii="Times New Roman" w:hAnsi="Times New Roman" w:cs="Times New Roman"/>
          <w:bCs/>
          <w:lang w:val="mn-MN"/>
        </w:rPr>
        <w:t>бөгөөд</w:t>
      </w:r>
      <w:r w:rsidR="00E01F22" w:rsidRPr="00F10F52">
        <w:rPr>
          <w:rFonts w:ascii="Times New Roman" w:hAnsi="Times New Roman" w:cs="Times New Roman"/>
          <w:bCs/>
        </w:rPr>
        <w:t xml:space="preserve"> </w:t>
      </w:r>
      <w:r w:rsidR="00D64F05" w:rsidRPr="00F10F52">
        <w:rPr>
          <w:rFonts w:ascii="Times New Roman" w:hAnsi="Times New Roman" w:cs="Times New Roman"/>
          <w:bCs/>
          <w:lang w:val="mn-MN"/>
        </w:rPr>
        <w:t xml:space="preserve">дээрхи нийгэмлэгээс гаргасан удирдамжид </w:t>
      </w:r>
      <w:r w:rsidR="00F36EE0" w:rsidRPr="00F10F52">
        <w:rPr>
          <w:rFonts w:ascii="Times New Roman" w:hAnsi="Times New Roman" w:cs="Times New Roman"/>
          <w:bCs/>
          <w:lang w:val="mn-MN"/>
        </w:rPr>
        <w:t>о</w:t>
      </w:r>
      <w:r w:rsidR="00D64F05" w:rsidRPr="00F10F52">
        <w:rPr>
          <w:rFonts w:ascii="Times New Roman" w:hAnsi="Times New Roman" w:cs="Times New Roman"/>
          <w:bCs/>
          <w:lang w:val="mn-MN"/>
        </w:rPr>
        <w:t>ю</w:t>
      </w:r>
      <w:r w:rsidR="00F36EE0" w:rsidRPr="00F10F52">
        <w:rPr>
          <w:rFonts w:ascii="Times New Roman" w:hAnsi="Times New Roman" w:cs="Times New Roman"/>
          <w:bCs/>
          <w:lang w:val="mn-MN"/>
        </w:rPr>
        <w:t>ун ух</w:t>
      </w:r>
      <w:r w:rsidR="00E01F22" w:rsidRPr="00F10F52">
        <w:rPr>
          <w:rFonts w:ascii="Times New Roman" w:hAnsi="Times New Roman" w:cs="Times New Roman"/>
          <w:bCs/>
          <w:lang w:val="mn-MN"/>
        </w:rPr>
        <w:t xml:space="preserve">ааны хөгжлийн бэрхшээлийн төвшинг олон улсад хүлээн зөвшөөрөгдсөн түгээмэл хэрэглэдэг оюун ухааны олон талт үйл ажиллагааны хүчин зүйлийг тусгасан аргачлал Стэнфорд Бинэ, Ж.Равены, Векслерийн гэх мэт сорилын дагуу үнэлнэ. </w:t>
      </w:r>
      <w:r w:rsidR="00E01F22" w:rsidRPr="00F10F52">
        <w:rPr>
          <w:rFonts w:ascii="Times New Roman" w:hAnsi="Times New Roman" w:cs="Times New Roman"/>
          <w:bCs/>
        </w:rPr>
        <w:t>/www.aamr.org/</w:t>
      </w:r>
      <w:r w:rsidR="00E01F22" w:rsidRPr="00F10F52">
        <w:rPr>
          <w:rFonts w:ascii="Times New Roman" w:hAnsi="Times New Roman" w:cs="Times New Roman"/>
          <w:bCs/>
          <w:lang w:val="mn-MN"/>
        </w:rPr>
        <w:t xml:space="preserve">    </w:t>
      </w:r>
      <w:r w:rsidR="00D64F05" w:rsidRPr="00F10F52">
        <w:rPr>
          <w:rFonts w:ascii="Times New Roman" w:hAnsi="Times New Roman" w:cs="Times New Roman"/>
          <w:bCs/>
          <w:lang w:val="mn-MN"/>
        </w:rPr>
        <w:t>/2.80 /</w:t>
      </w:r>
    </w:p>
    <w:p w:rsidR="004616D3" w:rsidRPr="00F10F52" w:rsidRDefault="00E01F22" w:rsidP="00F348CB">
      <w:pPr>
        <w:jc w:val="both"/>
        <w:rPr>
          <w:rFonts w:ascii="Times New Roman" w:hAnsi="Times New Roman" w:cs="Times New Roman"/>
          <w:lang w:val="mn-MN"/>
        </w:rPr>
      </w:pPr>
      <w:r w:rsidRPr="00F10F52">
        <w:rPr>
          <w:rFonts w:ascii="Times New Roman" w:hAnsi="Times New Roman" w:cs="Times New Roman"/>
          <w:lang w:val="mn-MN"/>
        </w:rPr>
        <w:t>Т</w:t>
      </w:r>
      <w:r w:rsidR="00561642" w:rsidRPr="00F10F52">
        <w:rPr>
          <w:rFonts w:ascii="Times New Roman" w:hAnsi="Times New Roman" w:cs="Times New Roman"/>
          <w:lang w:val="mn-MN"/>
        </w:rPr>
        <w:t>усгай сургуульд оюуны хөгжлийн бэрхшээлтэй хүүхдийг судал</w:t>
      </w:r>
      <w:r w:rsidR="00ED6599" w:rsidRPr="00F10F52">
        <w:rPr>
          <w:rFonts w:ascii="Times New Roman" w:hAnsi="Times New Roman" w:cs="Times New Roman"/>
          <w:lang w:val="mn-MN"/>
        </w:rPr>
        <w:t>ж элсүүлэх</w:t>
      </w:r>
      <w:r w:rsidRPr="00F10F52">
        <w:rPr>
          <w:rFonts w:ascii="Times New Roman" w:hAnsi="Times New Roman" w:cs="Times New Roman"/>
          <w:lang w:val="mn-MN"/>
        </w:rPr>
        <w:t xml:space="preserve">эд </w:t>
      </w:r>
      <w:r w:rsidR="00EA6737" w:rsidRPr="00F10F52">
        <w:rPr>
          <w:rFonts w:ascii="Times New Roman" w:hAnsi="Times New Roman" w:cs="Times New Roman"/>
          <w:lang w:val="mn-MN"/>
        </w:rPr>
        <w:t xml:space="preserve">баталгаатай монголын нөхцөлд туршигдан тохиргоожсон сорилын </w:t>
      </w:r>
      <w:r w:rsidRPr="00F10F52">
        <w:rPr>
          <w:rFonts w:ascii="Times New Roman" w:hAnsi="Times New Roman" w:cs="Times New Roman"/>
          <w:lang w:val="mn-MN"/>
        </w:rPr>
        <w:t xml:space="preserve">арга дутагдалтай </w:t>
      </w:r>
      <w:r w:rsidR="00561642" w:rsidRPr="00F10F52">
        <w:rPr>
          <w:rFonts w:ascii="Times New Roman" w:hAnsi="Times New Roman" w:cs="Times New Roman"/>
          <w:lang w:val="mn-MN"/>
        </w:rPr>
        <w:t>байгааг харгалзан</w:t>
      </w:r>
      <w:r w:rsidR="00EA6737" w:rsidRPr="00F10F52">
        <w:rPr>
          <w:rFonts w:ascii="Times New Roman" w:hAnsi="Times New Roman" w:cs="Times New Roman"/>
          <w:lang w:val="mn-MN"/>
        </w:rPr>
        <w:t xml:space="preserve"> бид </w:t>
      </w:r>
      <w:r w:rsidR="00561642" w:rsidRPr="00F10F52">
        <w:rPr>
          <w:rFonts w:ascii="Times New Roman" w:hAnsi="Times New Roman" w:cs="Times New Roman"/>
          <w:lang w:val="mn-MN"/>
        </w:rPr>
        <w:t xml:space="preserve"> </w:t>
      </w:r>
      <w:r w:rsidR="00561642" w:rsidRPr="00F10F52">
        <w:rPr>
          <w:rFonts w:ascii="Times New Roman" w:hAnsi="Times New Roman" w:cs="Times New Roman"/>
          <w:lang w:val="mn-MN"/>
        </w:rPr>
        <w:lastRenderedPageBreak/>
        <w:t>магистр Х.Чанцалдулам</w:t>
      </w:r>
      <w:r w:rsidRPr="00F10F52">
        <w:rPr>
          <w:rFonts w:ascii="Times New Roman" w:hAnsi="Times New Roman" w:cs="Times New Roman"/>
          <w:lang w:val="mn-MN"/>
        </w:rPr>
        <w:t xml:space="preserve">тай хамтран </w:t>
      </w:r>
      <w:r w:rsidR="00ED6599" w:rsidRPr="00F10F52">
        <w:rPr>
          <w:rFonts w:ascii="Times New Roman" w:hAnsi="Times New Roman" w:cs="Times New Roman"/>
          <w:lang w:val="mn-MN"/>
        </w:rPr>
        <w:t xml:space="preserve">оюун ухааны хөгжлийн түвшинг тодорхойлох </w:t>
      </w:r>
      <w:r w:rsidR="00561642" w:rsidRPr="00F10F52">
        <w:rPr>
          <w:rFonts w:ascii="Times New Roman" w:hAnsi="Times New Roman" w:cs="Times New Roman"/>
          <w:lang w:val="mn-MN"/>
        </w:rPr>
        <w:t>Ж.Равены өнгөт сорил</w:t>
      </w:r>
      <w:r w:rsidR="00F312B3" w:rsidRPr="00F10F52">
        <w:rPr>
          <w:rFonts w:ascii="Times New Roman" w:hAnsi="Times New Roman" w:cs="Times New Roman"/>
          <w:lang w:val="mn-MN"/>
        </w:rPr>
        <w:t xml:space="preserve">оор </w:t>
      </w:r>
      <w:r w:rsidR="00ED6599" w:rsidRPr="00F10F52">
        <w:rPr>
          <w:rFonts w:ascii="Times New Roman" w:hAnsi="Times New Roman" w:cs="Times New Roman"/>
          <w:lang w:val="mn-MN"/>
        </w:rPr>
        <w:t>УБ хотын оюуны хөгжлийн бэрхшээлтэй хүүхдийн тусгай сургуулийн 2-р ангийн</w:t>
      </w:r>
      <w:r w:rsidR="00856BD5" w:rsidRPr="00F10F52">
        <w:rPr>
          <w:rFonts w:ascii="Times New Roman" w:hAnsi="Times New Roman" w:cs="Times New Roman"/>
          <w:lang w:val="mn-MN"/>
        </w:rPr>
        <w:t xml:space="preserve"> 8-</w:t>
      </w:r>
      <w:r w:rsidR="005A6EBD" w:rsidRPr="00F10F52">
        <w:rPr>
          <w:rFonts w:ascii="Times New Roman" w:hAnsi="Times New Roman" w:cs="Times New Roman"/>
          <w:lang w:val="mn-MN"/>
        </w:rPr>
        <w:t xml:space="preserve">14насны </w:t>
      </w:r>
      <w:r w:rsidR="00F312B3" w:rsidRPr="00F10F52">
        <w:rPr>
          <w:rFonts w:ascii="Times New Roman" w:hAnsi="Times New Roman" w:cs="Times New Roman"/>
          <w:lang w:val="mn-MN"/>
        </w:rPr>
        <w:t xml:space="preserve">12 сурагчдыг судалж </w:t>
      </w:r>
      <w:r w:rsidR="00856BD5" w:rsidRPr="00F10F52">
        <w:rPr>
          <w:rFonts w:ascii="Times New Roman" w:hAnsi="Times New Roman" w:cs="Times New Roman"/>
          <w:lang w:val="mn-MN"/>
        </w:rPr>
        <w:t xml:space="preserve">туршилт хийж үр дүнг тооцсон  болно. </w:t>
      </w:r>
      <w:r w:rsidRPr="00F10F52">
        <w:rPr>
          <w:rFonts w:ascii="Times New Roman" w:hAnsi="Times New Roman" w:cs="Times New Roman"/>
          <w:lang w:val="mn-MN"/>
        </w:rPr>
        <w:t>Английн сэтгэл зүйч</w:t>
      </w:r>
      <w:r w:rsidR="00F312B3" w:rsidRPr="00F10F52">
        <w:rPr>
          <w:rFonts w:ascii="Times New Roman" w:hAnsi="Times New Roman" w:cs="Times New Roman"/>
          <w:lang w:val="mn-MN"/>
        </w:rPr>
        <w:t xml:space="preserve"> Ж.Равен 1947 онд өнгөт прогрессив матрицийг (Color</w:t>
      </w:r>
      <w:r w:rsidR="00F312B3" w:rsidRPr="00F10F52">
        <w:rPr>
          <w:rFonts w:ascii="Times New Roman" w:hAnsi="Times New Roman" w:cs="Times New Roman"/>
        </w:rPr>
        <w:t xml:space="preserve"> progressive matrices</w:t>
      </w:r>
      <w:r w:rsidR="00F312B3" w:rsidRPr="00F10F52">
        <w:rPr>
          <w:rFonts w:ascii="Times New Roman" w:hAnsi="Times New Roman" w:cs="Times New Roman"/>
          <w:lang w:val="mn-MN"/>
        </w:rPr>
        <w:t xml:space="preserve"> )</w:t>
      </w:r>
      <w:r w:rsidR="00F312B3" w:rsidRPr="00F10F52">
        <w:rPr>
          <w:rFonts w:ascii="Times New Roman" w:hAnsi="Times New Roman" w:cs="Times New Roman"/>
        </w:rPr>
        <w:t xml:space="preserve"> </w:t>
      </w:r>
      <w:r w:rsidR="00F312B3" w:rsidRPr="00F10F52">
        <w:rPr>
          <w:rFonts w:ascii="Times New Roman" w:hAnsi="Times New Roman" w:cs="Times New Roman"/>
          <w:lang w:val="mn-MN"/>
        </w:rPr>
        <w:t>боловсруулсан бөгөөд энэ нь 5-11</w:t>
      </w:r>
      <w:r w:rsidR="00EA6737" w:rsidRPr="00F10F52">
        <w:rPr>
          <w:rFonts w:ascii="Times New Roman" w:hAnsi="Times New Roman" w:cs="Times New Roman"/>
          <w:lang w:val="mn-MN"/>
        </w:rPr>
        <w:t xml:space="preserve"> насны хүүхдүүд, 65-аас дээш хиж</w:t>
      </w:r>
      <w:r w:rsidR="00F312B3" w:rsidRPr="00F10F52">
        <w:rPr>
          <w:rFonts w:ascii="Times New Roman" w:hAnsi="Times New Roman" w:cs="Times New Roman"/>
          <w:lang w:val="mn-MN"/>
        </w:rPr>
        <w:t>ээл на</w:t>
      </w:r>
      <w:r w:rsidR="00EA6737" w:rsidRPr="00F10F52">
        <w:rPr>
          <w:rFonts w:ascii="Times New Roman" w:hAnsi="Times New Roman" w:cs="Times New Roman"/>
          <w:lang w:val="mn-MN"/>
        </w:rPr>
        <w:t>с</w:t>
      </w:r>
      <w:r w:rsidR="00F312B3" w:rsidRPr="00F10F52">
        <w:rPr>
          <w:rFonts w:ascii="Times New Roman" w:hAnsi="Times New Roman" w:cs="Times New Roman"/>
          <w:lang w:val="mn-MN"/>
        </w:rPr>
        <w:t xml:space="preserve">ны  хүмүүс,  мөн оюуны хомсдолтой хүүхдийг судлах зориулалттай. Уг сорил 3 багц, багц тус бүр 12  даалгавартай.  </w:t>
      </w:r>
      <w:r w:rsidR="004616D3" w:rsidRPr="00F10F52">
        <w:rPr>
          <w:rFonts w:ascii="Times New Roman" w:hAnsi="Times New Roman" w:cs="Times New Roman"/>
          <w:lang w:val="mn-MN"/>
        </w:rPr>
        <w:t xml:space="preserve"> </w:t>
      </w:r>
      <w:r w:rsidR="004616D3" w:rsidRPr="00F10F52">
        <w:rPr>
          <w:rFonts w:ascii="Times New Roman" w:hAnsi="Times New Roman" w:cs="Times New Roman"/>
          <w:b/>
          <w:lang w:val="mn-MN"/>
        </w:rPr>
        <w:t xml:space="preserve"> / </w:t>
      </w:r>
      <w:r w:rsidR="004616D3" w:rsidRPr="00F10F52">
        <w:rPr>
          <w:rFonts w:ascii="Times New Roman" w:hAnsi="Times New Roman" w:cs="Times New Roman"/>
          <w:i/>
          <w:u w:val="single"/>
          <w:lang w:val="mn-MN"/>
        </w:rPr>
        <w:t>Цветные прогрессивные матрицы” Дж.Равен, Дж.К.Равен, Дж.Корт \</w:t>
      </w:r>
    </w:p>
    <w:p w:rsidR="007436C6" w:rsidRPr="00F10F52" w:rsidRDefault="007436C6" w:rsidP="00F348CB">
      <w:pPr>
        <w:jc w:val="both"/>
        <w:rPr>
          <w:rFonts w:ascii="Times New Roman" w:hAnsi="Times New Roman" w:cs="Times New Roman"/>
          <w:b/>
          <w:lang w:val="mn-MN"/>
        </w:rPr>
      </w:pPr>
      <w:r w:rsidRPr="00F10F52">
        <w:rPr>
          <w:rFonts w:ascii="Times New Roman" w:hAnsi="Times New Roman" w:cs="Times New Roman"/>
          <w:b/>
          <w:lang w:val="mn-MN"/>
        </w:rPr>
        <w:t xml:space="preserve">Судалгааны хэрэглэгдэхүүн, арга </w:t>
      </w:r>
    </w:p>
    <w:p w:rsidR="00FD6383" w:rsidRPr="00F10F52" w:rsidRDefault="002D0BC7" w:rsidP="00F348CB">
      <w:pPr>
        <w:spacing w:line="360" w:lineRule="auto"/>
        <w:jc w:val="both"/>
        <w:rPr>
          <w:rFonts w:ascii="Times New Roman" w:hAnsi="Times New Roman" w:cs="Times New Roman"/>
          <w:lang w:val="mn-MN"/>
        </w:rPr>
      </w:pPr>
      <w:r w:rsidRPr="00F10F52">
        <w:rPr>
          <w:rFonts w:ascii="Times New Roman" w:hAnsi="Times New Roman" w:cs="Times New Roman"/>
          <w:lang w:val="mn-MN"/>
        </w:rPr>
        <w:t xml:space="preserve">Сэдэвт холбогдох ном зохиолд </w:t>
      </w:r>
      <w:r w:rsidR="00FD6383" w:rsidRPr="00F10F52">
        <w:rPr>
          <w:rFonts w:ascii="Times New Roman" w:hAnsi="Times New Roman" w:cs="Times New Roman"/>
          <w:lang w:val="mn-MN"/>
        </w:rPr>
        <w:t>дүн шинжилгээ</w:t>
      </w:r>
      <w:r w:rsidRPr="00F10F52">
        <w:rPr>
          <w:rFonts w:ascii="Times New Roman" w:hAnsi="Times New Roman" w:cs="Times New Roman"/>
          <w:lang w:val="mn-MN"/>
        </w:rPr>
        <w:t xml:space="preserve"> хийх</w:t>
      </w:r>
      <w:r w:rsidR="00D42F1B" w:rsidRPr="00F10F52">
        <w:rPr>
          <w:rFonts w:ascii="Times New Roman" w:hAnsi="Times New Roman" w:cs="Times New Roman"/>
          <w:lang w:val="mn-MN"/>
        </w:rPr>
        <w:t xml:space="preserve">, </w:t>
      </w:r>
      <w:r w:rsidR="00FD6383" w:rsidRPr="00F10F52">
        <w:rPr>
          <w:rFonts w:ascii="Times New Roman" w:hAnsi="Times New Roman" w:cs="Times New Roman"/>
          <w:lang w:val="mn-MN"/>
        </w:rPr>
        <w:t>Ж.Равены  өнгөт  сори</w:t>
      </w:r>
      <w:r w:rsidR="00D42F1B" w:rsidRPr="00F10F52">
        <w:rPr>
          <w:rFonts w:ascii="Times New Roman" w:hAnsi="Times New Roman" w:cs="Times New Roman"/>
          <w:lang w:val="mn-MN"/>
        </w:rPr>
        <w:t xml:space="preserve">л, ажиглалт, ярилцлага, туршилт, асуулга, математик статистикийн боловсруулалт, кейс анализын арга </w:t>
      </w:r>
    </w:p>
    <w:p w:rsidR="00856BD5" w:rsidRPr="00F10F52" w:rsidRDefault="007436C6" w:rsidP="00F348CB">
      <w:pPr>
        <w:spacing w:line="360" w:lineRule="auto"/>
        <w:jc w:val="both"/>
        <w:rPr>
          <w:rFonts w:ascii="Times New Roman" w:hAnsi="Times New Roman" w:cs="Times New Roman"/>
          <w:b/>
          <w:lang w:val="mn-MN"/>
        </w:rPr>
      </w:pPr>
      <w:r w:rsidRPr="00F10F52">
        <w:rPr>
          <w:rFonts w:ascii="Times New Roman" w:hAnsi="Times New Roman" w:cs="Times New Roman"/>
          <w:b/>
          <w:lang w:val="mn-MN"/>
        </w:rPr>
        <w:t>Үр</w:t>
      </w:r>
      <w:r w:rsidR="00B40F06" w:rsidRPr="00F10F52">
        <w:rPr>
          <w:rFonts w:ascii="Times New Roman" w:hAnsi="Times New Roman" w:cs="Times New Roman"/>
          <w:b/>
          <w:lang w:val="mn-MN"/>
        </w:rPr>
        <w:t xml:space="preserve"> дүн</w:t>
      </w:r>
      <w:r w:rsidR="00856BD5" w:rsidRPr="00F10F52">
        <w:rPr>
          <w:rFonts w:ascii="Times New Roman" w:hAnsi="Times New Roman" w:cs="Times New Roman"/>
          <w:b/>
          <w:lang w:val="mn-MN"/>
        </w:rPr>
        <w:t xml:space="preserve">. </w:t>
      </w:r>
      <w:r w:rsidR="00856BD5" w:rsidRPr="00F10F52">
        <w:rPr>
          <w:rFonts w:ascii="Times New Roman" w:hAnsi="Times New Roman" w:cs="Times New Roman"/>
          <w:lang w:val="mn-MN"/>
        </w:rPr>
        <w:t xml:space="preserve">Оросын эрдэмтэн Л.С.Преслени, Т.В.Разонова нар Ж.Равены өнгөт сорилд тохиргоог  хийж ЕБС-ийн 1-2-р  ангийн сурагчдыг судлаад дараах амжилтын  түвшин,  болон үр дүнг гаргасан байна.  Үүнд: </w:t>
      </w:r>
    </w:p>
    <w:p w:rsidR="00856BD5" w:rsidRPr="00F10F52" w:rsidRDefault="00856BD5" w:rsidP="00F348CB">
      <w:pPr>
        <w:spacing w:line="360" w:lineRule="auto"/>
        <w:jc w:val="both"/>
        <w:rPr>
          <w:rFonts w:ascii="Times New Roman" w:hAnsi="Times New Roman" w:cs="Times New Roman"/>
          <w:lang w:val="mn-MN"/>
        </w:rPr>
      </w:pPr>
      <w:r w:rsidRPr="00F10F52">
        <w:rPr>
          <w:rFonts w:ascii="Times New Roman" w:hAnsi="Times New Roman" w:cs="Times New Roman"/>
          <w:lang w:val="mn-MN"/>
        </w:rPr>
        <w:t xml:space="preserve">1-р түвшин: 17-аас доошгүй оноо – 50% </w:t>
      </w:r>
    </w:p>
    <w:p w:rsidR="00856BD5" w:rsidRPr="00F10F52" w:rsidRDefault="00856BD5" w:rsidP="00F348CB">
      <w:pPr>
        <w:spacing w:line="360" w:lineRule="auto"/>
        <w:jc w:val="both"/>
        <w:rPr>
          <w:rFonts w:ascii="Times New Roman" w:hAnsi="Times New Roman" w:cs="Times New Roman"/>
          <w:lang w:val="mn-MN"/>
        </w:rPr>
      </w:pPr>
      <w:r w:rsidRPr="00F10F52">
        <w:rPr>
          <w:rFonts w:ascii="Times New Roman" w:hAnsi="Times New Roman" w:cs="Times New Roman"/>
          <w:lang w:val="mn-MN"/>
        </w:rPr>
        <w:t>2-р түвшин: 17,5-22,5оноо- 50-64,9%</w:t>
      </w:r>
    </w:p>
    <w:p w:rsidR="00856BD5" w:rsidRPr="00F10F52" w:rsidRDefault="00856BD5" w:rsidP="00F348CB">
      <w:pPr>
        <w:spacing w:line="360" w:lineRule="auto"/>
        <w:jc w:val="both"/>
        <w:rPr>
          <w:rFonts w:ascii="Times New Roman" w:hAnsi="Times New Roman" w:cs="Times New Roman"/>
          <w:lang w:val="mn-MN"/>
        </w:rPr>
      </w:pPr>
      <w:r w:rsidRPr="00F10F52">
        <w:rPr>
          <w:rFonts w:ascii="Times New Roman" w:hAnsi="Times New Roman" w:cs="Times New Roman"/>
          <w:lang w:val="mn-MN"/>
        </w:rPr>
        <w:t>3-р түвшин : 22,7-27,9оноо- 65-79,9%</w:t>
      </w:r>
    </w:p>
    <w:p w:rsidR="00856BD5" w:rsidRPr="00F10F52" w:rsidRDefault="00856BD5" w:rsidP="00F348CB">
      <w:pPr>
        <w:spacing w:line="360" w:lineRule="auto"/>
        <w:jc w:val="both"/>
        <w:rPr>
          <w:rFonts w:ascii="Times New Roman" w:hAnsi="Times New Roman" w:cs="Times New Roman"/>
          <w:lang w:val="mn-MN"/>
        </w:rPr>
      </w:pPr>
      <w:r w:rsidRPr="00F10F52">
        <w:rPr>
          <w:rFonts w:ascii="Times New Roman" w:hAnsi="Times New Roman" w:cs="Times New Roman"/>
          <w:lang w:val="mn-MN"/>
        </w:rPr>
        <w:t xml:space="preserve">4-р түвшин: 28 ба түүнээс дээш оноо-80-100% </w:t>
      </w:r>
    </w:p>
    <w:p w:rsidR="00E577D3" w:rsidRPr="00F10F52" w:rsidRDefault="00856BD5" w:rsidP="00F348CB">
      <w:pPr>
        <w:spacing w:line="360" w:lineRule="auto"/>
        <w:jc w:val="both"/>
        <w:rPr>
          <w:rFonts w:ascii="Times New Roman" w:hAnsi="Times New Roman" w:cs="Times New Roman"/>
        </w:rPr>
      </w:pPr>
      <w:r w:rsidRPr="00F10F52">
        <w:rPr>
          <w:rFonts w:ascii="Times New Roman" w:hAnsi="Times New Roman" w:cs="Times New Roman"/>
          <w:lang w:val="mn-MN"/>
        </w:rPr>
        <w:t xml:space="preserve">Оросын эрдэмтэн Л.С.Преслени, Т.В.Разонова нарын судалгаагаар ЕБС-ийн 1-2-р ангийн сурагчдын 90% нь 3 ба 4-р түвшний  амжилттай байдаг. 1 ба 2-р түвшний гүйцэтгэлтэй хүүхдүүдийн хөгжил нь ямар нэгэн хоцрогдолтой \янз бүрийн шалтгаанаар\ байдаг. </w:t>
      </w:r>
      <w:r w:rsidRPr="00F10F52">
        <w:rPr>
          <w:rFonts w:ascii="Times New Roman" w:hAnsi="Times New Roman" w:cs="Times New Roman"/>
          <w:b/>
          <w:bCs/>
          <w:i/>
          <w:iCs/>
          <w:lang w:val="mn-MN"/>
        </w:rPr>
        <w:t xml:space="preserve">Харин 13 ба түүнээс бага оноо авч байгаа хүүхдүүдэд оюуны бэрхшээл буюу хомсдол </w:t>
      </w:r>
      <w:r w:rsidRPr="00F10F52">
        <w:rPr>
          <w:rFonts w:ascii="Times New Roman" w:hAnsi="Times New Roman" w:cs="Times New Roman"/>
          <w:lang w:val="mn-MN"/>
        </w:rPr>
        <w:t>ажиглагддаг гэж үзсэн байна.</w:t>
      </w:r>
      <w:r w:rsidR="00F10F52">
        <w:rPr>
          <w:rFonts w:ascii="Times New Roman" w:hAnsi="Times New Roman" w:cs="Times New Roman"/>
          <w:lang w:val="mn-MN"/>
        </w:rPr>
        <w:t xml:space="preserve"> </w:t>
      </w:r>
      <w:r w:rsidR="005A6EBD" w:rsidRPr="00F10F52">
        <w:rPr>
          <w:rFonts w:ascii="Times New Roman" w:hAnsi="Times New Roman" w:cs="Times New Roman"/>
          <w:lang w:val="mn-MN"/>
        </w:rPr>
        <w:t xml:space="preserve">Бид </w:t>
      </w:r>
      <w:r w:rsidR="00C17CB1" w:rsidRPr="00F10F52">
        <w:rPr>
          <w:rFonts w:ascii="Times New Roman" w:hAnsi="Times New Roman" w:cs="Times New Roman"/>
          <w:lang w:val="mn-MN"/>
        </w:rPr>
        <w:t>Ж.Равены</w:t>
      </w:r>
      <w:r w:rsidRPr="00F10F52">
        <w:rPr>
          <w:rFonts w:ascii="Times New Roman" w:hAnsi="Times New Roman" w:cs="Times New Roman"/>
          <w:lang w:val="mn-MN"/>
        </w:rPr>
        <w:t xml:space="preserve"> өнгөт </w:t>
      </w:r>
      <w:r w:rsidR="00C17CB1" w:rsidRPr="00F10F52">
        <w:rPr>
          <w:rFonts w:ascii="Times New Roman" w:hAnsi="Times New Roman" w:cs="Times New Roman"/>
          <w:lang w:val="mn-MN"/>
        </w:rPr>
        <w:t>сор</w:t>
      </w:r>
      <w:r w:rsidR="005A6EBD" w:rsidRPr="00F10F52">
        <w:rPr>
          <w:rFonts w:ascii="Times New Roman" w:hAnsi="Times New Roman" w:cs="Times New Roman"/>
          <w:lang w:val="mn-MN"/>
        </w:rPr>
        <w:t xml:space="preserve">илоор оюуны хомсдолтой хүүхдийн 63-р </w:t>
      </w:r>
      <w:r w:rsidR="00C17CB1" w:rsidRPr="00F10F52">
        <w:rPr>
          <w:rFonts w:ascii="Times New Roman" w:hAnsi="Times New Roman" w:cs="Times New Roman"/>
          <w:lang w:val="mn-MN"/>
        </w:rPr>
        <w:t xml:space="preserve">тусгай сургуулийн  2-р ангийн </w:t>
      </w:r>
      <w:r w:rsidR="005A6EBD" w:rsidRPr="00F10F52">
        <w:rPr>
          <w:rFonts w:ascii="Times New Roman" w:hAnsi="Times New Roman" w:cs="Times New Roman"/>
          <w:lang w:val="mn-MN"/>
        </w:rPr>
        <w:t xml:space="preserve">8-14 насны </w:t>
      </w:r>
      <w:r w:rsidR="00E577D3" w:rsidRPr="00F10F52">
        <w:rPr>
          <w:rFonts w:ascii="Times New Roman" w:hAnsi="Times New Roman" w:cs="Times New Roman"/>
          <w:lang w:val="mn-MN"/>
        </w:rPr>
        <w:t>12 сурагч</w:t>
      </w:r>
      <w:r w:rsidR="005A6EBD" w:rsidRPr="00F10F52">
        <w:rPr>
          <w:rFonts w:ascii="Times New Roman" w:hAnsi="Times New Roman" w:cs="Times New Roman"/>
          <w:lang w:val="mn-MN"/>
        </w:rPr>
        <w:t xml:space="preserve">дыг судалсан. Судлуулагч </w:t>
      </w:r>
      <w:r w:rsidR="00E577D3" w:rsidRPr="00F10F52">
        <w:rPr>
          <w:rFonts w:ascii="Times New Roman" w:hAnsi="Times New Roman" w:cs="Times New Roman"/>
          <w:lang w:val="mn-MN"/>
        </w:rPr>
        <w:t>36 оноо авах ёстой.</w:t>
      </w:r>
      <w:r w:rsidR="00C17CB1" w:rsidRPr="00F10F52">
        <w:rPr>
          <w:rFonts w:ascii="Times New Roman" w:hAnsi="Times New Roman" w:cs="Times New Roman"/>
          <w:lang w:val="mn-MN"/>
        </w:rPr>
        <w:t xml:space="preserve"> </w:t>
      </w:r>
      <w:r w:rsidR="00E577D3" w:rsidRPr="00F10F52">
        <w:rPr>
          <w:rFonts w:ascii="Times New Roman" w:hAnsi="Times New Roman" w:cs="Times New Roman"/>
          <w:lang w:val="mn-MN"/>
        </w:rPr>
        <w:t>Сурагчдын нийт авсан онооны байдлыг</w:t>
      </w:r>
      <w:r w:rsidR="00297039" w:rsidRPr="00F10F52">
        <w:rPr>
          <w:rFonts w:ascii="Times New Roman" w:hAnsi="Times New Roman" w:cs="Times New Roman"/>
          <w:lang w:val="mn-MN"/>
        </w:rPr>
        <w:t xml:space="preserve"> </w:t>
      </w:r>
      <w:r w:rsidR="00E577D3" w:rsidRPr="00F10F52">
        <w:rPr>
          <w:rFonts w:ascii="Times New Roman" w:hAnsi="Times New Roman" w:cs="Times New Roman"/>
          <w:lang w:val="mn-MN"/>
        </w:rPr>
        <w:t>\А,АВ,В сери\ хүснэгтээр</w:t>
      </w:r>
      <w:r w:rsidR="005A6EBD" w:rsidRPr="00F10F52">
        <w:rPr>
          <w:rFonts w:ascii="Times New Roman" w:hAnsi="Times New Roman" w:cs="Times New Roman"/>
          <w:lang w:val="mn-MN"/>
        </w:rPr>
        <w:t xml:space="preserve"> үзүүлбэ</w:t>
      </w:r>
      <w:r w:rsidR="00E577D3" w:rsidRPr="00F10F52">
        <w:rPr>
          <w:rFonts w:ascii="Times New Roman" w:hAnsi="Times New Roman" w:cs="Times New Roman"/>
          <w:lang w:val="mn-MN"/>
        </w:rPr>
        <w:t>л:</w:t>
      </w:r>
      <w:r w:rsidR="004616D3" w:rsidRPr="00F10F52">
        <w:rPr>
          <w:rFonts w:ascii="Times New Roman" w:hAnsi="Times New Roman" w:cs="Times New Roman"/>
          <w:lang w:val="mn-MN"/>
        </w:rPr>
        <w:t xml:space="preserve">          </w:t>
      </w:r>
      <w:r w:rsidR="00E577D3" w:rsidRPr="00F10F52">
        <w:rPr>
          <w:rFonts w:ascii="Times New Roman" w:hAnsi="Times New Roman" w:cs="Times New Roman"/>
          <w:lang w:val="mn-MN"/>
        </w:rPr>
        <w:t xml:space="preserve">Хүснэгт </w:t>
      </w:r>
      <w:r w:rsidR="004616D3" w:rsidRPr="00F10F52">
        <w:rPr>
          <w:rFonts w:ascii="Times New Roman" w:hAnsi="Times New Roman" w:cs="Times New Roman"/>
          <w:lang w:val="mn-MN"/>
        </w:rPr>
        <w:t>1.</w:t>
      </w:r>
    </w:p>
    <w:tbl>
      <w:tblPr>
        <w:tblStyle w:val="TableGrid"/>
        <w:tblW w:w="0" w:type="auto"/>
        <w:tblLook w:val="04A0"/>
      </w:tblPr>
      <w:tblGrid>
        <w:gridCol w:w="1387"/>
        <w:gridCol w:w="1797"/>
        <w:gridCol w:w="1766"/>
        <w:gridCol w:w="1582"/>
        <w:gridCol w:w="1356"/>
        <w:gridCol w:w="1688"/>
      </w:tblGrid>
      <w:tr w:rsidR="00E577D3" w:rsidRPr="00F10F52" w:rsidTr="00E7419B">
        <w:tc>
          <w:tcPr>
            <w:tcW w:w="1435" w:type="dxa"/>
            <w:shd w:val="clear" w:color="auto" w:fill="FFFFFF" w:themeFill="background1"/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b/>
                <w:lang w:val="mn-MN"/>
              </w:rPr>
            </w:pPr>
            <w:r w:rsidRPr="00F10F52">
              <w:rPr>
                <w:rFonts w:ascii="Times New Roman" w:hAnsi="Times New Roman" w:cs="Times New Roman"/>
                <w:b/>
                <w:lang w:val="mn-MN"/>
              </w:rPr>
              <w:t>Сурагч</w:t>
            </w: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b/>
                <w:lang w:val="mn-MN"/>
              </w:rPr>
            </w:pPr>
            <w:r w:rsidRPr="00F10F52">
              <w:rPr>
                <w:rFonts w:ascii="Times New Roman" w:hAnsi="Times New Roman" w:cs="Times New Roman"/>
                <w:b/>
                <w:lang w:val="mn-MN"/>
              </w:rPr>
              <w:t>А серийн гүйцэтгэлийн оноо</w:t>
            </w:r>
          </w:p>
        </w:tc>
        <w:tc>
          <w:tcPr>
            <w:tcW w:w="178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b/>
                <w:lang w:val="mn-MN"/>
              </w:rPr>
            </w:pPr>
            <w:r w:rsidRPr="00F10F52">
              <w:rPr>
                <w:rFonts w:ascii="Times New Roman" w:hAnsi="Times New Roman" w:cs="Times New Roman"/>
                <w:b/>
                <w:lang w:val="mn-MN"/>
              </w:rPr>
              <w:t>АВ серийн гүйцэтгэлийн оноо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b/>
                <w:lang w:val="mn-MN"/>
              </w:rPr>
            </w:pPr>
            <w:r w:rsidRPr="00F10F52">
              <w:rPr>
                <w:rFonts w:ascii="Times New Roman" w:hAnsi="Times New Roman" w:cs="Times New Roman"/>
                <w:b/>
                <w:lang w:val="mn-MN"/>
              </w:rPr>
              <w:t>В серийн гүйцэтгэлийн оноо</w:t>
            </w:r>
          </w:p>
        </w:tc>
        <w:tc>
          <w:tcPr>
            <w:tcW w:w="13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b/>
                <w:lang w:val="mn-MN"/>
              </w:rPr>
            </w:pPr>
            <w:r w:rsidRPr="00F10F52">
              <w:rPr>
                <w:rFonts w:ascii="Times New Roman" w:hAnsi="Times New Roman" w:cs="Times New Roman"/>
                <w:b/>
                <w:lang w:val="mn-MN"/>
              </w:rPr>
              <w:t>Нийт оноо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b/>
                <w:lang w:val="mn-MN"/>
              </w:rPr>
            </w:pPr>
            <w:r w:rsidRPr="00F10F52">
              <w:rPr>
                <w:rFonts w:ascii="Times New Roman" w:hAnsi="Times New Roman" w:cs="Times New Roman"/>
                <w:b/>
                <w:lang w:val="mn-MN"/>
              </w:rPr>
              <w:t>Даалгавар гүйцэтгэлийн хувь</w:t>
            </w:r>
          </w:p>
        </w:tc>
      </w:tr>
      <w:tr w:rsidR="00E577D3" w:rsidRPr="00F10F52" w:rsidTr="00E7419B">
        <w:tc>
          <w:tcPr>
            <w:tcW w:w="1435" w:type="dxa"/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Э</w:t>
            </w: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8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5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3</w:t>
            </w: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ind w:left="876"/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16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44%</w:t>
            </w:r>
          </w:p>
        </w:tc>
      </w:tr>
      <w:tr w:rsidR="00E577D3" w:rsidRPr="00F10F52" w:rsidTr="00E7419B">
        <w:tc>
          <w:tcPr>
            <w:tcW w:w="1435" w:type="dxa"/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Аз</w:t>
            </w: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5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2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2</w:t>
            </w: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ind w:left="1004"/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9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25%</w:t>
            </w:r>
          </w:p>
        </w:tc>
      </w:tr>
      <w:tr w:rsidR="00E577D3" w:rsidRPr="00F10F52" w:rsidTr="00E7419B">
        <w:tc>
          <w:tcPr>
            <w:tcW w:w="1435" w:type="dxa"/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Хан</w:t>
            </w: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11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11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6</w:t>
            </w: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ind w:left="876"/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28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78%</w:t>
            </w:r>
          </w:p>
        </w:tc>
      </w:tr>
      <w:tr w:rsidR="00E577D3" w:rsidRPr="00F10F52" w:rsidTr="00297039">
        <w:trPr>
          <w:trHeight w:val="60"/>
        </w:trPr>
        <w:tc>
          <w:tcPr>
            <w:tcW w:w="1435" w:type="dxa"/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Л</w:t>
            </w: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11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10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7</w:t>
            </w: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ind w:left="876"/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28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78%</w:t>
            </w:r>
          </w:p>
        </w:tc>
      </w:tr>
      <w:tr w:rsidR="00E577D3" w:rsidRPr="00F10F52" w:rsidTr="00E7419B">
        <w:trPr>
          <w:trHeight w:val="260"/>
        </w:trPr>
        <w:tc>
          <w:tcPr>
            <w:tcW w:w="1435" w:type="dxa"/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Ба</w:t>
            </w: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8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7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2</w:t>
            </w: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17</w:t>
            </w:r>
            <w:r w:rsidRPr="00F10F52"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 w:rsidRPr="00F10F52">
              <w:rPr>
                <w:rFonts w:ascii="Times New Roman" w:hAnsi="Times New Roman" w:cs="Times New Roman"/>
                <w:lang w:val="mn-MN"/>
              </w:rPr>
              <w:t xml:space="preserve">                              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47%</w:t>
            </w:r>
          </w:p>
        </w:tc>
      </w:tr>
      <w:tr w:rsidR="00E577D3" w:rsidRPr="00F10F52" w:rsidTr="00E7419B">
        <w:tc>
          <w:tcPr>
            <w:tcW w:w="1435" w:type="dxa"/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Д</w:t>
            </w: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6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3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1</w:t>
            </w: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ind w:left="876"/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10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28%</w:t>
            </w:r>
          </w:p>
        </w:tc>
      </w:tr>
      <w:tr w:rsidR="00E577D3" w:rsidRPr="00F10F52" w:rsidTr="00E7419B">
        <w:tc>
          <w:tcPr>
            <w:tcW w:w="1435" w:type="dxa"/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А</w:t>
            </w: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8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6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5</w:t>
            </w: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ind w:left="876"/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19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53%</w:t>
            </w:r>
          </w:p>
        </w:tc>
      </w:tr>
      <w:tr w:rsidR="00E577D3" w:rsidRPr="00F10F52" w:rsidTr="00E7419B">
        <w:tc>
          <w:tcPr>
            <w:tcW w:w="1435" w:type="dxa"/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lastRenderedPageBreak/>
              <w:t>Со</w:t>
            </w: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7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5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3</w:t>
            </w: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ind w:left="876"/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15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42%</w:t>
            </w:r>
          </w:p>
        </w:tc>
      </w:tr>
      <w:tr w:rsidR="00E577D3" w:rsidRPr="00F10F52" w:rsidTr="00E7419B">
        <w:tc>
          <w:tcPr>
            <w:tcW w:w="1435" w:type="dxa"/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Хат</w:t>
            </w: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7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3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2</w:t>
            </w: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ind w:left="165"/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 xml:space="preserve">          12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33%</w:t>
            </w:r>
          </w:p>
        </w:tc>
      </w:tr>
      <w:tr w:rsidR="00E577D3" w:rsidRPr="00F10F52" w:rsidTr="00E7419B">
        <w:tc>
          <w:tcPr>
            <w:tcW w:w="1435" w:type="dxa"/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Сэ</w:t>
            </w: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6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5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4</w:t>
            </w: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ind w:left="165"/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 xml:space="preserve">         14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39%</w:t>
            </w:r>
          </w:p>
        </w:tc>
      </w:tr>
      <w:tr w:rsidR="00E577D3" w:rsidRPr="00F10F52" w:rsidTr="00E7419B">
        <w:tc>
          <w:tcPr>
            <w:tcW w:w="1435" w:type="dxa"/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З</w:t>
            </w: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6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3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2</w:t>
            </w: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ind w:left="165"/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 xml:space="preserve">       11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30%</w:t>
            </w:r>
          </w:p>
        </w:tc>
      </w:tr>
      <w:tr w:rsidR="00E577D3" w:rsidRPr="00F10F52" w:rsidTr="00E7419B">
        <w:tc>
          <w:tcPr>
            <w:tcW w:w="1435" w:type="dxa"/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Бая</w:t>
            </w: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5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0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0</w:t>
            </w: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E577D3" w:rsidRPr="00F10F52" w:rsidRDefault="00E577D3" w:rsidP="00F348CB">
            <w:pPr>
              <w:ind w:left="384"/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 xml:space="preserve">    5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E577D3" w:rsidRPr="00F10F52" w:rsidRDefault="00E577D3" w:rsidP="00F348CB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F10F52">
              <w:rPr>
                <w:rFonts w:ascii="Times New Roman" w:hAnsi="Times New Roman" w:cs="Times New Roman"/>
                <w:lang w:val="mn-MN"/>
              </w:rPr>
              <w:t>14%</w:t>
            </w:r>
          </w:p>
        </w:tc>
      </w:tr>
    </w:tbl>
    <w:p w:rsidR="007436C6" w:rsidRPr="00F10F52" w:rsidRDefault="007436C6" w:rsidP="00F348CB">
      <w:pPr>
        <w:jc w:val="both"/>
        <w:rPr>
          <w:rFonts w:ascii="Times New Roman" w:hAnsi="Times New Roman" w:cs="Times New Roman"/>
          <w:b/>
          <w:lang w:val="mn-MN"/>
        </w:rPr>
      </w:pPr>
      <w:r w:rsidRPr="00F10F52">
        <w:rPr>
          <w:rFonts w:ascii="Times New Roman" w:hAnsi="Times New Roman" w:cs="Times New Roman"/>
          <w:b/>
          <w:lang w:val="mn-MN"/>
        </w:rPr>
        <w:t>Дүгнэлт</w:t>
      </w:r>
    </w:p>
    <w:p w:rsidR="009E47E1" w:rsidRPr="00F10F52" w:rsidRDefault="00775D26" w:rsidP="00F348C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lang w:val="mn-MN"/>
        </w:rPr>
      </w:pPr>
      <w:r w:rsidRPr="00F10F52">
        <w:rPr>
          <w:rFonts w:ascii="Times New Roman" w:hAnsi="Times New Roman" w:cs="Times New Roman"/>
          <w:lang w:val="mn-MN"/>
        </w:rPr>
        <w:t xml:space="preserve">8-14 насны оюуны хөгжлийн бэрхшээлтэй </w:t>
      </w:r>
      <w:r w:rsidR="005A6EBD" w:rsidRPr="00F10F52">
        <w:rPr>
          <w:rFonts w:ascii="Times New Roman" w:hAnsi="Times New Roman" w:cs="Times New Roman"/>
          <w:lang w:val="mn-MN"/>
        </w:rPr>
        <w:t xml:space="preserve">12 </w:t>
      </w:r>
      <w:r w:rsidRPr="00F10F52">
        <w:rPr>
          <w:rFonts w:ascii="Times New Roman" w:hAnsi="Times New Roman" w:cs="Times New Roman"/>
          <w:lang w:val="mn-MN"/>
        </w:rPr>
        <w:t>сурагчдыг судалсан с</w:t>
      </w:r>
      <w:r w:rsidR="009E47E1" w:rsidRPr="00F10F52">
        <w:rPr>
          <w:rFonts w:ascii="Times New Roman" w:hAnsi="Times New Roman" w:cs="Times New Roman"/>
          <w:lang w:val="mn-MN"/>
        </w:rPr>
        <w:t>удалгааны</w:t>
      </w:r>
      <w:r w:rsidRPr="00F10F52">
        <w:rPr>
          <w:rFonts w:ascii="Times New Roman" w:hAnsi="Times New Roman" w:cs="Times New Roman"/>
          <w:lang w:val="mn-MN"/>
        </w:rPr>
        <w:t xml:space="preserve"> </w:t>
      </w:r>
      <w:r w:rsidR="009E47E1" w:rsidRPr="00F10F52">
        <w:rPr>
          <w:rFonts w:ascii="Times New Roman" w:hAnsi="Times New Roman" w:cs="Times New Roman"/>
          <w:lang w:val="mn-MN"/>
        </w:rPr>
        <w:t xml:space="preserve">дүнгээс үзэхэд </w:t>
      </w:r>
      <w:r w:rsidR="005A6EBD" w:rsidRPr="00F10F52">
        <w:rPr>
          <w:rFonts w:ascii="Times New Roman" w:hAnsi="Times New Roman" w:cs="Times New Roman"/>
          <w:lang w:val="mn-MN"/>
        </w:rPr>
        <w:t xml:space="preserve">13-аас  доош оноог 5 сурагч авсан нь оюуны хөгжлийн бэрхшээлтэй болох нь тогтоогдсон бөгөөд 28-аас доош оноо 7  сурагч </w:t>
      </w:r>
      <w:r w:rsidRPr="00F10F52">
        <w:rPr>
          <w:rFonts w:ascii="Times New Roman" w:hAnsi="Times New Roman" w:cs="Times New Roman"/>
          <w:lang w:val="mn-MN"/>
        </w:rPr>
        <w:t xml:space="preserve"> </w:t>
      </w:r>
      <w:r w:rsidR="005A6EBD" w:rsidRPr="00F10F52">
        <w:rPr>
          <w:rFonts w:ascii="Times New Roman" w:hAnsi="Times New Roman" w:cs="Times New Roman"/>
          <w:lang w:val="mn-MN"/>
        </w:rPr>
        <w:t>авсан  нь  сэтгэцийн хөгжлийн түр зуурын са</w:t>
      </w:r>
      <w:r w:rsidR="00E32C82" w:rsidRPr="00F10F52">
        <w:rPr>
          <w:rFonts w:ascii="Times New Roman" w:hAnsi="Times New Roman" w:cs="Times New Roman"/>
          <w:lang w:val="mn-MN"/>
        </w:rPr>
        <w:t xml:space="preserve">аталтай  гэж </w:t>
      </w:r>
      <w:r w:rsidR="005A6EBD" w:rsidRPr="00F10F52">
        <w:rPr>
          <w:rFonts w:ascii="Times New Roman" w:hAnsi="Times New Roman" w:cs="Times New Roman"/>
          <w:lang w:val="mn-MN"/>
        </w:rPr>
        <w:t xml:space="preserve"> тогтоогдсон. </w:t>
      </w:r>
      <w:r w:rsidR="00E32C82" w:rsidRPr="00F10F52">
        <w:rPr>
          <w:rFonts w:ascii="Times New Roman" w:hAnsi="Times New Roman" w:cs="Times New Roman"/>
          <w:lang w:val="mn-MN"/>
        </w:rPr>
        <w:t xml:space="preserve"> Эдгээр </w:t>
      </w:r>
      <w:r w:rsidR="009E47E1" w:rsidRPr="00F10F52">
        <w:rPr>
          <w:rFonts w:ascii="Times New Roman" w:hAnsi="Times New Roman" w:cs="Times New Roman"/>
          <w:lang w:val="mn-MN"/>
        </w:rPr>
        <w:t xml:space="preserve">сурагчдын </w:t>
      </w:r>
      <w:r w:rsidRPr="00F10F52">
        <w:rPr>
          <w:rFonts w:ascii="Times New Roman" w:hAnsi="Times New Roman" w:cs="Times New Roman"/>
          <w:lang w:val="mn-MN"/>
        </w:rPr>
        <w:t xml:space="preserve">даалгавар </w:t>
      </w:r>
      <w:r w:rsidR="009E47E1" w:rsidRPr="00F10F52">
        <w:rPr>
          <w:rFonts w:ascii="Times New Roman" w:hAnsi="Times New Roman" w:cs="Times New Roman"/>
          <w:lang w:val="mn-MN"/>
        </w:rPr>
        <w:t>гүйцэтгэлийн түвшин бусад түвшний сурагчдыг бодвол нэлээд өндөр буюу 78%</w:t>
      </w:r>
      <w:r w:rsidR="00E32C82" w:rsidRPr="00F10F52">
        <w:rPr>
          <w:rFonts w:ascii="Times New Roman" w:hAnsi="Times New Roman" w:cs="Times New Roman"/>
          <w:lang w:val="mn-MN"/>
        </w:rPr>
        <w:t xml:space="preserve">-ийн үзүүлэлттэй гарсан нь </w:t>
      </w:r>
      <w:r w:rsidR="009E47E1" w:rsidRPr="00F10F52">
        <w:rPr>
          <w:rFonts w:ascii="Times New Roman" w:hAnsi="Times New Roman" w:cs="Times New Roman"/>
          <w:lang w:val="mn-MN"/>
        </w:rPr>
        <w:t xml:space="preserve"> сургалтын явцад багшийн дэмжлэгийг авч цааш су</w:t>
      </w:r>
      <w:r w:rsidR="00E32C82" w:rsidRPr="00F10F52">
        <w:rPr>
          <w:rFonts w:ascii="Times New Roman" w:hAnsi="Times New Roman" w:cs="Times New Roman"/>
          <w:lang w:val="mn-MN"/>
        </w:rPr>
        <w:t>ралцах боломжтой нь судалгаагаар тогтоогдсон.</w:t>
      </w:r>
    </w:p>
    <w:p w:rsidR="00402F40" w:rsidRPr="00F10F52" w:rsidRDefault="009E47E1" w:rsidP="00F348CB">
      <w:pPr>
        <w:pStyle w:val="ListParagraph"/>
        <w:numPr>
          <w:ilvl w:val="0"/>
          <w:numId w:val="9"/>
        </w:numPr>
        <w:tabs>
          <w:tab w:val="left" w:pos="360"/>
        </w:tabs>
        <w:spacing w:after="100" w:afterAutospacing="1" w:line="480" w:lineRule="auto"/>
        <w:jc w:val="both"/>
        <w:rPr>
          <w:rFonts w:ascii="Times New Roman" w:hAnsi="Times New Roman" w:cs="Times New Roman"/>
          <w:lang w:val="mn-MN"/>
        </w:rPr>
      </w:pPr>
      <w:r w:rsidRPr="00F10F52">
        <w:rPr>
          <w:rFonts w:ascii="Times New Roman" w:hAnsi="Times New Roman" w:cs="Times New Roman"/>
          <w:lang w:val="mn-MN"/>
        </w:rPr>
        <w:t>Судалгааны гүйцэтгэлийн хувийг оюуны бэрхшээлийн түвшинтэй холбон авч үзэхэд хөнгөн хэлбэрийн бэрхшээлтэй хүүхдийн гүйцэтгэлийн хувь өндөр, дунд буюу хүнд хэлбэрийн бэрхшээлтэй сурагчийн  гүйц</w:t>
      </w:r>
      <w:r w:rsidR="00E32C82" w:rsidRPr="00F10F52">
        <w:rPr>
          <w:rFonts w:ascii="Times New Roman" w:hAnsi="Times New Roman" w:cs="Times New Roman"/>
          <w:lang w:val="mn-MN"/>
        </w:rPr>
        <w:t xml:space="preserve">этгэлийн хувь доогуур нь батлагдсан. </w:t>
      </w:r>
    </w:p>
    <w:p w:rsidR="00D9337F" w:rsidRPr="00F10F52" w:rsidRDefault="00B40F06" w:rsidP="00F348CB">
      <w:pPr>
        <w:pStyle w:val="ListParagraph"/>
        <w:numPr>
          <w:ilvl w:val="0"/>
          <w:numId w:val="9"/>
        </w:numPr>
        <w:tabs>
          <w:tab w:val="left" w:pos="360"/>
        </w:tabs>
        <w:spacing w:after="100" w:afterAutospacing="1" w:line="480" w:lineRule="auto"/>
        <w:ind w:left="0" w:firstLine="0"/>
        <w:jc w:val="both"/>
        <w:rPr>
          <w:rFonts w:ascii="Times New Roman" w:hAnsi="Times New Roman" w:cs="Times New Roman"/>
          <w:lang w:val="mn-MN"/>
        </w:rPr>
      </w:pPr>
      <w:r w:rsidRPr="00F10F52">
        <w:rPr>
          <w:rFonts w:ascii="Times New Roman" w:hAnsi="Times New Roman" w:cs="Times New Roman"/>
          <w:lang w:val="mn-MN"/>
        </w:rPr>
        <w:t xml:space="preserve">Ж.Равены өнгөт сорил </w:t>
      </w:r>
      <w:r w:rsidR="00E32C82" w:rsidRPr="00F10F52">
        <w:rPr>
          <w:rFonts w:ascii="Times New Roman" w:hAnsi="Times New Roman" w:cs="Times New Roman"/>
          <w:lang w:val="mn-MN"/>
        </w:rPr>
        <w:t>тусгай сургуульд ою</w:t>
      </w:r>
      <w:r w:rsidRPr="00F10F52">
        <w:rPr>
          <w:rFonts w:ascii="Times New Roman" w:hAnsi="Times New Roman" w:cs="Times New Roman"/>
          <w:lang w:val="mn-MN"/>
        </w:rPr>
        <w:t xml:space="preserve">уны хөгжлийн бэрхшээлтэй хүүхдийг судалж, </w:t>
      </w:r>
      <w:r w:rsidR="00E32C82" w:rsidRPr="00F10F52">
        <w:rPr>
          <w:rFonts w:ascii="Times New Roman" w:hAnsi="Times New Roman" w:cs="Times New Roman"/>
          <w:lang w:val="mn-MN"/>
        </w:rPr>
        <w:t>бэрхшээлийн түвшинг тогтоох, хүү</w:t>
      </w:r>
      <w:r w:rsidRPr="00F10F52">
        <w:rPr>
          <w:rFonts w:ascii="Times New Roman" w:hAnsi="Times New Roman" w:cs="Times New Roman"/>
          <w:lang w:val="mn-MN"/>
        </w:rPr>
        <w:t xml:space="preserve">хдийн цаашид суралцах чадварыг </w:t>
      </w:r>
      <w:r w:rsidR="00E32C82" w:rsidRPr="00F10F52">
        <w:rPr>
          <w:rFonts w:ascii="Times New Roman" w:hAnsi="Times New Roman" w:cs="Times New Roman"/>
          <w:lang w:val="mn-MN"/>
        </w:rPr>
        <w:t>то</w:t>
      </w:r>
      <w:r w:rsidRPr="00F10F52">
        <w:rPr>
          <w:rFonts w:ascii="Times New Roman" w:hAnsi="Times New Roman" w:cs="Times New Roman"/>
          <w:lang w:val="mn-MN"/>
        </w:rPr>
        <w:t>дорхойлох боломжтой арга зүй гэж үзсэн</w:t>
      </w:r>
      <w:r w:rsidR="00E32C82" w:rsidRPr="00F10F52">
        <w:rPr>
          <w:rFonts w:ascii="Times New Roman" w:hAnsi="Times New Roman" w:cs="Times New Roman"/>
          <w:lang w:val="mn-MN"/>
        </w:rPr>
        <w:t xml:space="preserve">. </w:t>
      </w:r>
      <w:r w:rsidR="00D9337F" w:rsidRPr="00F10F52">
        <w:rPr>
          <w:rFonts w:ascii="Times New Roman" w:hAnsi="Times New Roman" w:cs="Times New Roman"/>
          <w:lang w:val="mn-MN"/>
        </w:rPr>
        <w:t xml:space="preserve">Ашигласан материал </w:t>
      </w:r>
    </w:p>
    <w:p w:rsidR="00D9337F" w:rsidRPr="00F10F52" w:rsidRDefault="009B7C22" w:rsidP="00F348C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lang w:val="mn-MN"/>
        </w:rPr>
      </w:pPr>
      <w:r w:rsidRPr="00F10F52">
        <w:rPr>
          <w:rFonts w:ascii="Times New Roman" w:hAnsi="Times New Roman" w:cs="Times New Roman"/>
          <w:lang w:val="mn-MN"/>
        </w:rPr>
        <w:t xml:space="preserve">Батцэнгэл.Г, </w:t>
      </w:r>
      <w:r w:rsidR="00D64F05" w:rsidRPr="00F10F52">
        <w:rPr>
          <w:rFonts w:ascii="Times New Roman" w:hAnsi="Times New Roman" w:cs="Times New Roman"/>
          <w:lang w:val="mn-MN"/>
        </w:rPr>
        <w:t xml:space="preserve">Б.Туяа, Д.Одгэрэл, Ц.Гэрэлтуяа </w:t>
      </w:r>
      <w:r w:rsidR="00D9337F" w:rsidRPr="00F10F52">
        <w:rPr>
          <w:rFonts w:ascii="Times New Roman" w:hAnsi="Times New Roman" w:cs="Times New Roman"/>
          <w:lang w:val="mn-MN"/>
        </w:rPr>
        <w:t>”</w:t>
      </w:r>
      <w:r w:rsidR="00D64F05" w:rsidRPr="00F10F52">
        <w:rPr>
          <w:rFonts w:ascii="Times New Roman" w:hAnsi="Times New Roman" w:cs="Times New Roman"/>
          <w:lang w:val="mn-MN"/>
        </w:rPr>
        <w:t xml:space="preserve"> Оюун ухааны хөгжлийн бэрхшээлтэй хүүхдийг судлах арга зүйн зөвлөмж” </w:t>
      </w:r>
      <w:r w:rsidR="00D9337F" w:rsidRPr="00F10F52">
        <w:rPr>
          <w:rFonts w:ascii="Times New Roman" w:hAnsi="Times New Roman" w:cs="Times New Roman"/>
          <w:lang w:val="mn-MN"/>
        </w:rPr>
        <w:t xml:space="preserve">   УБ хот 2011 он</w:t>
      </w:r>
    </w:p>
    <w:p w:rsidR="00AF1817" w:rsidRPr="00F10F52" w:rsidRDefault="00AF1817" w:rsidP="00F348C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lang w:val="mn-MN"/>
        </w:rPr>
      </w:pPr>
      <w:r w:rsidRPr="00F10F52">
        <w:rPr>
          <w:rFonts w:ascii="Times New Roman" w:hAnsi="Times New Roman" w:cs="Times New Roman"/>
          <w:lang w:val="mn-MN"/>
        </w:rPr>
        <w:t>Батцэнгэл.Г, Ганцэцэг.М, Өлзиймаа.Н, Хорлоо.Д, “Хөгжлийн бэрхшээлтэй хүүхдийг судлах үнэлэх арга зүй” УБ.,2010</w:t>
      </w:r>
    </w:p>
    <w:p w:rsidR="00AF1817" w:rsidRPr="00F10F52" w:rsidRDefault="003D4BFD" w:rsidP="00F348C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lang w:val="mn-MN"/>
        </w:rPr>
      </w:pPr>
      <w:r w:rsidRPr="00F10F52">
        <w:rPr>
          <w:rFonts w:ascii="Times New Roman" w:hAnsi="Times New Roman" w:cs="Times New Roman"/>
          <w:lang w:val="mn-MN"/>
        </w:rPr>
        <w:t>Семаго.М.М “Психолого-медико- педагогическое обследование ребенка” Москва., 1999</w:t>
      </w:r>
    </w:p>
    <w:p w:rsidR="00D9337F" w:rsidRPr="00F10F52" w:rsidRDefault="00AF1817" w:rsidP="00F348C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lang w:val="mn-MN"/>
        </w:rPr>
      </w:pPr>
      <w:r w:rsidRPr="00F10F52">
        <w:rPr>
          <w:rFonts w:ascii="Times New Roman" w:hAnsi="Times New Roman" w:cs="Times New Roman"/>
          <w:lang w:val="mn-MN"/>
        </w:rPr>
        <w:t>Доржжадамба.Ш “Сэтгэцийн өвчнүүд” УБ., 1993</w:t>
      </w:r>
    </w:p>
    <w:p w:rsidR="00B40F06" w:rsidRPr="00F10F52" w:rsidRDefault="00D9337F" w:rsidP="00F348C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lang w:val="mn-MN"/>
        </w:rPr>
      </w:pPr>
      <w:r w:rsidRPr="00F10F52">
        <w:rPr>
          <w:rFonts w:ascii="Times New Roman" w:hAnsi="Times New Roman" w:cs="Times New Roman"/>
          <w:lang w:val="mn-MN"/>
        </w:rPr>
        <w:t xml:space="preserve">Мягмар.О “Хувийн зохицон дасахуй” УБ хот 2000 он </w:t>
      </w:r>
    </w:p>
    <w:p w:rsidR="00D9337F" w:rsidRPr="00F10F52" w:rsidRDefault="00AF1817" w:rsidP="00F348C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lang w:val="mn-MN"/>
        </w:rPr>
      </w:pPr>
      <w:r w:rsidRPr="00F10F52">
        <w:rPr>
          <w:rFonts w:ascii="Times New Roman" w:hAnsi="Times New Roman" w:cs="Times New Roman"/>
          <w:lang w:val="mn-MN"/>
        </w:rPr>
        <w:t xml:space="preserve">“Сэтгэл судлал” УБ., </w:t>
      </w:r>
      <w:r w:rsidR="00D9337F" w:rsidRPr="00F10F52">
        <w:rPr>
          <w:rFonts w:ascii="Times New Roman" w:hAnsi="Times New Roman" w:cs="Times New Roman"/>
          <w:lang w:val="mn-MN"/>
        </w:rPr>
        <w:t xml:space="preserve">2004 он </w:t>
      </w:r>
      <w:r w:rsidRPr="00F10F52">
        <w:rPr>
          <w:rFonts w:ascii="Times New Roman" w:hAnsi="Times New Roman" w:cs="Times New Roman"/>
          <w:lang w:val="mn-MN"/>
        </w:rPr>
        <w:t>Сэтгэл судлалын тэнхим  МУБИС</w:t>
      </w:r>
    </w:p>
    <w:p w:rsidR="00D9337F" w:rsidRPr="00F10F52" w:rsidRDefault="00D9337F" w:rsidP="00F348C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lang w:val="mn-MN"/>
        </w:rPr>
      </w:pPr>
      <w:r w:rsidRPr="00F10F52">
        <w:rPr>
          <w:rFonts w:ascii="Times New Roman" w:hAnsi="Times New Roman" w:cs="Times New Roman"/>
          <w:lang w:val="mn-MN"/>
        </w:rPr>
        <w:t xml:space="preserve">Туяа.Б  “Сэтгэц оношлогооны тайлбар толь” УБ хот 2011 он </w:t>
      </w:r>
    </w:p>
    <w:p w:rsidR="00ED6599" w:rsidRPr="00F10F52" w:rsidRDefault="00ED6599" w:rsidP="00F348C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lang w:val="mn-MN"/>
        </w:rPr>
      </w:pPr>
      <w:r w:rsidRPr="00F10F52">
        <w:rPr>
          <w:rFonts w:ascii="Times New Roman" w:hAnsi="Times New Roman" w:cs="Times New Roman"/>
          <w:lang w:val="mn-MN"/>
        </w:rPr>
        <w:t>Чанцалдулам.Х “ Ж.Равены өнгөт сорилоор оюуны хөгжлийн бэрхшээлтэй хүүхдийг судалсан нь” УБ.,2012 магистрын диссертацийн ажил</w:t>
      </w:r>
    </w:p>
    <w:p w:rsidR="00D9337F" w:rsidRPr="00F10F52" w:rsidRDefault="00D9337F" w:rsidP="00F348C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lang w:val="mn-MN"/>
        </w:rPr>
      </w:pPr>
      <w:r w:rsidRPr="00F10F52">
        <w:rPr>
          <w:rFonts w:ascii="Times New Roman" w:hAnsi="Times New Roman" w:cs="Times New Roman"/>
          <w:lang w:val="mn-MN"/>
        </w:rPr>
        <w:t xml:space="preserve">Хаяаши Кензо “Тэгш хамруулан сургах боловсрол” УБ хот 2006 он </w:t>
      </w:r>
    </w:p>
    <w:p w:rsidR="00D9337F" w:rsidRPr="00F10F52" w:rsidRDefault="00D9337F" w:rsidP="00F348C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lang w:val="mn-MN"/>
        </w:rPr>
      </w:pPr>
      <w:r w:rsidRPr="00F10F52">
        <w:rPr>
          <w:rFonts w:ascii="Times New Roman" w:hAnsi="Times New Roman" w:cs="Times New Roman"/>
          <w:lang w:val="mn-MN"/>
        </w:rPr>
        <w:t xml:space="preserve">“Хүүхдэд тохиолдох хөгжлийн бэрхшээл ба түүнийг  засан сайжруулах аргууд” Хөгжлийн бэрхшээлтэй хүүхдийн эцэг эхийн холбоо УБ хот 2008 он </w:t>
      </w:r>
    </w:p>
    <w:p w:rsidR="003547C2" w:rsidRPr="00F10F52" w:rsidRDefault="00D9337F" w:rsidP="00F348C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lang w:val="mn-MN"/>
        </w:rPr>
      </w:pPr>
      <w:r w:rsidRPr="00F10F52">
        <w:rPr>
          <w:rFonts w:ascii="Times New Roman" w:hAnsi="Times New Roman" w:cs="Times New Roman"/>
          <w:lang w:val="mn-MN"/>
        </w:rPr>
        <w:t>“Цветные прогрессивные матрицы” Дж.Равен,Дж.К.Равен,Дж.Корт</w:t>
      </w:r>
      <w:r w:rsidR="00AF1817" w:rsidRPr="00F10F52">
        <w:rPr>
          <w:rFonts w:ascii="Times New Roman" w:hAnsi="Times New Roman" w:cs="Times New Roman"/>
          <w:lang w:val="mn-MN"/>
        </w:rPr>
        <w:t xml:space="preserve"> Москва., </w:t>
      </w:r>
      <w:r w:rsidR="00B40F06" w:rsidRPr="00F10F52">
        <w:rPr>
          <w:rFonts w:ascii="Times New Roman" w:hAnsi="Times New Roman" w:cs="Times New Roman"/>
          <w:lang w:val="mn-MN"/>
        </w:rPr>
        <w:t>2002</w:t>
      </w:r>
    </w:p>
    <w:sectPr w:rsidR="003547C2" w:rsidRPr="00F10F52" w:rsidSect="00C95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333"/>
    <w:multiLevelType w:val="hybridMultilevel"/>
    <w:tmpl w:val="EDEC3E3E"/>
    <w:lvl w:ilvl="0" w:tplc="1EFE36F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74EE1"/>
    <w:multiLevelType w:val="hybridMultilevel"/>
    <w:tmpl w:val="A662A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90EA3"/>
    <w:multiLevelType w:val="hybridMultilevel"/>
    <w:tmpl w:val="87CAB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A02B2"/>
    <w:multiLevelType w:val="hybridMultilevel"/>
    <w:tmpl w:val="73A065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6D6B66"/>
    <w:multiLevelType w:val="hybridMultilevel"/>
    <w:tmpl w:val="6D1E8B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AAF04D2"/>
    <w:multiLevelType w:val="hybridMultilevel"/>
    <w:tmpl w:val="B4940B84"/>
    <w:lvl w:ilvl="0" w:tplc="8FC852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66143"/>
    <w:multiLevelType w:val="hybridMultilevel"/>
    <w:tmpl w:val="1A300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D65F5"/>
    <w:multiLevelType w:val="hybridMultilevel"/>
    <w:tmpl w:val="4D6ED41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731D5F10"/>
    <w:multiLevelType w:val="hybridMultilevel"/>
    <w:tmpl w:val="87600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93496"/>
    <w:rsid w:val="000258B1"/>
    <w:rsid w:val="0007487A"/>
    <w:rsid w:val="00131BAC"/>
    <w:rsid w:val="001A7C1F"/>
    <w:rsid w:val="001C7A83"/>
    <w:rsid w:val="00215AE1"/>
    <w:rsid w:val="00297039"/>
    <w:rsid w:val="002D0BC7"/>
    <w:rsid w:val="003547C2"/>
    <w:rsid w:val="003D4BFD"/>
    <w:rsid w:val="00402F40"/>
    <w:rsid w:val="00435AC4"/>
    <w:rsid w:val="004616D3"/>
    <w:rsid w:val="00550038"/>
    <w:rsid w:val="00561642"/>
    <w:rsid w:val="00593598"/>
    <w:rsid w:val="005A6E5B"/>
    <w:rsid w:val="005A6EBD"/>
    <w:rsid w:val="005D769E"/>
    <w:rsid w:val="005F2C88"/>
    <w:rsid w:val="006A3323"/>
    <w:rsid w:val="00710319"/>
    <w:rsid w:val="007436C6"/>
    <w:rsid w:val="00745B9C"/>
    <w:rsid w:val="00775D26"/>
    <w:rsid w:val="00807C88"/>
    <w:rsid w:val="00846E7B"/>
    <w:rsid w:val="00852D6C"/>
    <w:rsid w:val="00856BD5"/>
    <w:rsid w:val="00862243"/>
    <w:rsid w:val="00895C49"/>
    <w:rsid w:val="00902F28"/>
    <w:rsid w:val="00937507"/>
    <w:rsid w:val="009523D4"/>
    <w:rsid w:val="009B7C22"/>
    <w:rsid w:val="009D2BB3"/>
    <w:rsid w:val="009E47E1"/>
    <w:rsid w:val="00A204A1"/>
    <w:rsid w:val="00A653BA"/>
    <w:rsid w:val="00AB3F9B"/>
    <w:rsid w:val="00AD5B89"/>
    <w:rsid w:val="00AF1817"/>
    <w:rsid w:val="00B33E4F"/>
    <w:rsid w:val="00B40F06"/>
    <w:rsid w:val="00B919F3"/>
    <w:rsid w:val="00B93496"/>
    <w:rsid w:val="00C17CB1"/>
    <w:rsid w:val="00C954A8"/>
    <w:rsid w:val="00CD6C78"/>
    <w:rsid w:val="00D42F1B"/>
    <w:rsid w:val="00D61103"/>
    <w:rsid w:val="00D64F05"/>
    <w:rsid w:val="00D8031B"/>
    <w:rsid w:val="00D86A34"/>
    <w:rsid w:val="00D9337F"/>
    <w:rsid w:val="00DA26D3"/>
    <w:rsid w:val="00DE1ED8"/>
    <w:rsid w:val="00E01F22"/>
    <w:rsid w:val="00E32C82"/>
    <w:rsid w:val="00E577D3"/>
    <w:rsid w:val="00E9037B"/>
    <w:rsid w:val="00EA6737"/>
    <w:rsid w:val="00ED6599"/>
    <w:rsid w:val="00F10F52"/>
    <w:rsid w:val="00F312B3"/>
    <w:rsid w:val="00F348CB"/>
    <w:rsid w:val="00F36EE0"/>
    <w:rsid w:val="00FD6383"/>
    <w:rsid w:val="00FE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547C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8"/>
      <w:szCs w:val="28"/>
      <w:lang w:val="mn-MN" w:eastAsia="ja-JP"/>
    </w:rPr>
  </w:style>
  <w:style w:type="character" w:customStyle="1" w:styleId="TitleChar">
    <w:name w:val="Title Char"/>
    <w:basedOn w:val="DefaultParagraphFont"/>
    <w:link w:val="Title"/>
    <w:rsid w:val="003547C2"/>
    <w:rPr>
      <w:rFonts w:ascii="Times New Roman" w:eastAsia="MS Mincho" w:hAnsi="Times New Roman" w:cs="Times New Roman"/>
      <w:b/>
      <w:bCs/>
      <w:sz w:val="28"/>
      <w:szCs w:val="28"/>
      <w:lang w:val="mn-MN" w:eastAsia="ja-JP"/>
    </w:rPr>
  </w:style>
  <w:style w:type="paragraph" w:styleId="ListParagraph">
    <w:name w:val="List Paragraph"/>
    <w:basedOn w:val="Normal"/>
    <w:uiPriority w:val="34"/>
    <w:qFormat/>
    <w:rsid w:val="003547C2"/>
    <w:pPr>
      <w:ind w:left="720"/>
      <w:contextualSpacing/>
    </w:pPr>
  </w:style>
  <w:style w:type="table" w:styleId="TableGrid">
    <w:name w:val="Table Grid"/>
    <w:basedOn w:val="TableNormal"/>
    <w:uiPriority w:val="59"/>
    <w:rsid w:val="009E47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Mogul</dc:creator>
  <cp:lastModifiedBy>Dell</cp:lastModifiedBy>
  <cp:revision>43</cp:revision>
  <dcterms:created xsi:type="dcterms:W3CDTF">2013-03-20T00:44:00Z</dcterms:created>
  <dcterms:modified xsi:type="dcterms:W3CDTF">2014-04-28T10:08:00Z</dcterms:modified>
</cp:coreProperties>
</file>