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2251" w:rsidRPr="00A96893" w:rsidRDefault="00A22251" w:rsidP="00A96893">
      <w:pPr>
        <w:spacing w:line="360" w:lineRule="auto"/>
        <w:jc w:val="both"/>
        <w:rPr>
          <w:rFonts w:ascii="Times New Roman" w:hAnsi="Times New Roman" w:cs="Times New Roman"/>
          <w:sz w:val="24"/>
          <w:szCs w:val="24"/>
        </w:rPr>
      </w:pPr>
    </w:p>
    <w:p w:rsidR="00A22251" w:rsidRPr="00A22251" w:rsidRDefault="00A22251" w:rsidP="00A96893">
      <w:pPr>
        <w:spacing w:line="360" w:lineRule="auto"/>
        <w:jc w:val="both"/>
        <w:rPr>
          <w:rFonts w:ascii="Times New Roman" w:hAnsi="Times New Roman" w:cs="Times New Roman"/>
          <w:b/>
          <w:sz w:val="24"/>
          <w:szCs w:val="24"/>
          <w:lang w:val="mn-MN"/>
        </w:rPr>
      </w:pPr>
      <w:r w:rsidRPr="00A22251">
        <w:rPr>
          <w:rFonts w:ascii="Times New Roman" w:hAnsi="Times New Roman" w:cs="Times New Roman"/>
          <w:b/>
          <w:sz w:val="24"/>
          <w:szCs w:val="24"/>
          <w:lang w:val="mn-MN"/>
        </w:rPr>
        <w:t>Яагаад Багш хөгжих нь чухал вэ ?</w:t>
      </w:r>
    </w:p>
    <w:p w:rsidR="00A22251" w:rsidRPr="00A22251" w:rsidRDefault="00A22251" w:rsidP="00A96893">
      <w:pPr>
        <w:spacing w:line="360" w:lineRule="auto"/>
        <w:jc w:val="both"/>
        <w:rPr>
          <w:rFonts w:ascii="Times New Roman" w:hAnsi="Times New Roman" w:cs="Times New Roman"/>
          <w:sz w:val="24"/>
          <w:szCs w:val="24"/>
          <w:lang w:val="mn-MN"/>
        </w:rPr>
      </w:pPr>
      <w:r w:rsidRPr="00A22251">
        <w:rPr>
          <w:rFonts w:ascii="Times New Roman" w:hAnsi="Times New Roman" w:cs="Times New Roman"/>
          <w:sz w:val="24"/>
          <w:szCs w:val="24"/>
          <w:lang w:val="mn-MN"/>
        </w:rPr>
        <w:t xml:space="preserve">Сайн оюутнуудыг сайн багш бий болгодог. Үнэндээ, судалгаагаар оюутны амжилтанд нөлөөлөх хамгийн гол хүчин зүйл бол тэдний сурч буй сургуулийн урам зоригтой, итгэл үнэмшилтэй багш нар бөгөөд энэ нь бид шинэ залуу болон туршлагатай багш нараа хэрхэн сургах талаар анхаарх нь нэн чухал юм.  </w:t>
      </w:r>
    </w:p>
    <w:p w:rsidR="00A22251" w:rsidRPr="00A22251" w:rsidRDefault="00A22251" w:rsidP="00A96893">
      <w:pPr>
        <w:spacing w:line="360" w:lineRule="auto"/>
        <w:jc w:val="both"/>
        <w:rPr>
          <w:rFonts w:ascii="Times New Roman" w:hAnsi="Times New Roman" w:cs="Times New Roman"/>
          <w:b/>
          <w:sz w:val="24"/>
          <w:szCs w:val="24"/>
          <w:lang w:val="mn-MN"/>
        </w:rPr>
      </w:pPr>
      <w:r w:rsidRPr="00A22251">
        <w:rPr>
          <w:rFonts w:ascii="Times New Roman" w:hAnsi="Times New Roman" w:cs="Times New Roman"/>
          <w:b/>
          <w:sz w:val="24"/>
          <w:szCs w:val="24"/>
          <w:lang w:val="mn-MN"/>
        </w:rPr>
        <w:t>Багш бэлтгэх</w:t>
      </w:r>
    </w:p>
    <w:p w:rsidR="00A22251" w:rsidRPr="00A22251" w:rsidRDefault="00A22251" w:rsidP="00A96893">
      <w:pPr>
        <w:spacing w:line="360" w:lineRule="auto"/>
        <w:jc w:val="both"/>
        <w:rPr>
          <w:rFonts w:ascii="Times New Roman" w:hAnsi="Times New Roman" w:cs="Times New Roman"/>
          <w:sz w:val="24"/>
          <w:szCs w:val="24"/>
          <w:lang w:val="mn-MN"/>
        </w:rPr>
      </w:pPr>
      <w:r w:rsidRPr="00A22251">
        <w:rPr>
          <w:rFonts w:ascii="Times New Roman" w:hAnsi="Times New Roman" w:cs="Times New Roman"/>
          <w:sz w:val="24"/>
          <w:szCs w:val="24"/>
          <w:lang w:val="mn-MN"/>
        </w:rPr>
        <w:t>Хамгийн сайн багш бэлтгэх хөтөлбөр нь сэдвийн мэдлэгийг онцлон тэмдэглэж туршлагатай багшийн хяналтан дор оюутан багш нарыг бодит анги танхимд цагаа өнгөрүүлэх боломжоор хангах хэрэгтэй.  Яг л анагаах ухаан, архитектур, хуулийн мэргэжилтэн шиг л  кейс судалгаагаар дамжуулан шилдэг туршлагыг судлах, дадлагаар дамжуулан практик хийж оролцох, үлгэр жишээ багш бэлтгэх хөтөлбөр сургалтын хүрээнд оролцож байгаа багш нарыг бодит анги танхимд сурах онолоо хэрэгжүүлэх боломж олгох нь чухал.</w:t>
      </w:r>
    </w:p>
    <w:p w:rsidR="00A22251" w:rsidRPr="00A22251" w:rsidRDefault="00A22251" w:rsidP="00A96893">
      <w:pPr>
        <w:spacing w:line="360" w:lineRule="auto"/>
        <w:jc w:val="both"/>
        <w:rPr>
          <w:rFonts w:ascii="Times New Roman" w:hAnsi="Times New Roman" w:cs="Times New Roman"/>
          <w:sz w:val="24"/>
          <w:szCs w:val="24"/>
          <w:lang w:val="mn-MN"/>
        </w:rPr>
      </w:pPr>
      <w:r w:rsidRPr="00A22251">
        <w:rPr>
          <w:rFonts w:ascii="Times New Roman" w:hAnsi="Times New Roman" w:cs="Times New Roman"/>
          <w:sz w:val="24"/>
          <w:szCs w:val="24"/>
          <w:lang w:val="mn-MN"/>
        </w:rPr>
        <w:t>Маш олон коллеж, их сургуулиуд нь агуулгын мэдлэг дээр анхаарч, боловсролын технологийн ашиглалтыг нэмэгдүүлсэн мэргэжлийн хөгжлийн сургууль бий болгон, онлайнаар дамжуулан эрдмийн зэрэг хамгаалах хөрвөх мэргэжил эзэмшихийг илүүд үзэж буй оюутнуудад чиглэсэн шинэлэг сургалт зохион байгуулж байна.</w:t>
      </w:r>
    </w:p>
    <w:p w:rsidR="00A22251" w:rsidRPr="00A22251" w:rsidRDefault="00A22251" w:rsidP="00A96893">
      <w:pPr>
        <w:spacing w:line="360" w:lineRule="auto"/>
        <w:jc w:val="both"/>
        <w:rPr>
          <w:rFonts w:ascii="Times New Roman" w:hAnsi="Times New Roman" w:cs="Times New Roman"/>
          <w:b/>
          <w:sz w:val="24"/>
          <w:szCs w:val="24"/>
          <w:lang w:val="mn-MN"/>
        </w:rPr>
      </w:pPr>
      <w:r w:rsidRPr="00A22251">
        <w:rPr>
          <w:rFonts w:ascii="Times New Roman" w:hAnsi="Times New Roman" w:cs="Times New Roman"/>
          <w:b/>
          <w:sz w:val="24"/>
          <w:szCs w:val="24"/>
          <w:lang w:val="mn-MN"/>
        </w:rPr>
        <w:t>Багш-Зааварчилгаа хөтөлбөр /Дадлагажигч хөтөлбөр/</w:t>
      </w:r>
    </w:p>
    <w:p w:rsidR="00A22251" w:rsidRPr="00A22251" w:rsidRDefault="00A22251" w:rsidP="00A96893">
      <w:pPr>
        <w:spacing w:line="360" w:lineRule="auto"/>
        <w:jc w:val="both"/>
        <w:rPr>
          <w:rFonts w:ascii="Times New Roman" w:hAnsi="Times New Roman" w:cs="Times New Roman"/>
          <w:sz w:val="24"/>
          <w:szCs w:val="24"/>
          <w:lang w:val="mn-MN"/>
        </w:rPr>
      </w:pPr>
      <w:r w:rsidRPr="00A22251">
        <w:rPr>
          <w:rFonts w:ascii="Times New Roman" w:hAnsi="Times New Roman" w:cs="Times New Roman"/>
          <w:sz w:val="24"/>
          <w:szCs w:val="24"/>
          <w:lang w:val="mn-MN"/>
        </w:rPr>
        <w:t xml:space="preserve">Шинэ багш буюу анх багшилж байгаа багш нарыг  дэмжих нь ихэвчлэн тэгш бус, хангалтгүй байна. Шинэ багш нар нь сайн бэлтгэлтэй байсан ч ихэвчлэн дэмжлэг, хяналт багатай хамгийн хэцүү ангид оноогдсон байдаг. Бүх багш нарын бараг тал хувь нь  ажлын эхний 1-5 жилийн хооронд мэргэжлээрээ ажиллахаа больсон байдаг учраас багшаар анх ажиллаж байхад нь зохих дэмжлэг үзүүлж, анхаарал хандуулах хэрэгтэй. </w:t>
      </w:r>
    </w:p>
    <w:p w:rsidR="00A22251" w:rsidRPr="00A22251" w:rsidRDefault="00A22251" w:rsidP="00A96893">
      <w:pPr>
        <w:spacing w:line="360" w:lineRule="auto"/>
        <w:jc w:val="both"/>
        <w:rPr>
          <w:rFonts w:ascii="Times New Roman" w:hAnsi="Times New Roman" w:cs="Times New Roman"/>
          <w:sz w:val="24"/>
          <w:szCs w:val="24"/>
          <w:lang w:val="mn-MN"/>
        </w:rPr>
      </w:pPr>
      <w:r w:rsidRPr="00A22251">
        <w:rPr>
          <w:rFonts w:ascii="Times New Roman" w:hAnsi="Times New Roman" w:cs="Times New Roman"/>
          <w:sz w:val="24"/>
          <w:szCs w:val="24"/>
          <w:lang w:val="mn-MN"/>
        </w:rPr>
        <w:t xml:space="preserve">Ахмад багш хамт олноос зөвлөгөө өгөх, дадлагжуулах нь шинэ багшийн амжилттай хөгжилд чухал ач холбогдолтой. Маш сайн дадлагажуулан танилцуулах хөтөлбөр нь </w:t>
      </w:r>
      <w:r w:rsidRPr="00A22251">
        <w:rPr>
          <w:rFonts w:ascii="Times New Roman" w:hAnsi="Times New Roman" w:cs="Times New Roman"/>
          <w:sz w:val="24"/>
          <w:szCs w:val="24"/>
          <w:lang w:val="mn-MN"/>
        </w:rPr>
        <w:lastRenderedPageBreak/>
        <w:t>шинэхэн багш нар өөрсдийн зааж сургаж байгаа байдалдаа дүн шинжилгээ хийх боломжийг бий болгодог.</w:t>
      </w:r>
    </w:p>
    <w:p w:rsidR="00A22251" w:rsidRPr="00A22251" w:rsidRDefault="00A22251" w:rsidP="00A96893">
      <w:pPr>
        <w:spacing w:line="360" w:lineRule="auto"/>
        <w:jc w:val="both"/>
        <w:rPr>
          <w:rFonts w:ascii="Times New Roman" w:hAnsi="Times New Roman" w:cs="Times New Roman"/>
          <w:sz w:val="24"/>
          <w:szCs w:val="24"/>
          <w:lang w:val="mn-MN"/>
        </w:rPr>
      </w:pPr>
      <w:r w:rsidRPr="00A22251">
        <w:rPr>
          <w:rFonts w:ascii="Times New Roman" w:hAnsi="Times New Roman" w:cs="Times New Roman"/>
          <w:sz w:val="24"/>
          <w:szCs w:val="24"/>
          <w:lang w:val="mn-MN"/>
        </w:rPr>
        <w:t>Мэргэжлийн хөгжлийн хэрэгжилт</w:t>
      </w:r>
    </w:p>
    <w:p w:rsidR="00A22251" w:rsidRPr="00A22251" w:rsidRDefault="00A22251" w:rsidP="00A96893">
      <w:pPr>
        <w:spacing w:line="360" w:lineRule="auto"/>
        <w:jc w:val="both"/>
        <w:rPr>
          <w:rFonts w:ascii="Times New Roman" w:hAnsi="Times New Roman" w:cs="Times New Roman"/>
          <w:sz w:val="24"/>
          <w:szCs w:val="24"/>
          <w:lang w:val="mn-MN"/>
        </w:rPr>
      </w:pPr>
      <w:r w:rsidRPr="00A22251">
        <w:rPr>
          <w:rFonts w:ascii="Times New Roman" w:hAnsi="Times New Roman" w:cs="Times New Roman"/>
          <w:sz w:val="24"/>
          <w:szCs w:val="24"/>
          <w:lang w:val="mn-MN"/>
        </w:rPr>
        <w:t xml:space="preserve">Ахмад багш нар ч гэсэн бие биенээсээ суралцах байнгын боломж бий болгох нь маш чухал юм. Мэргэжлийн хөгжлийн хэрэгжилт нь багш оюутнууд яаж суралцаж байгаа талаар шинэ судалгаа хийх, мэргэжил дээшлүүлэх, технологийн хэрэгсэл шинээр гарч ирж буй шинэ сургалтын хөтөлбөр нөөц, сүүлийн үеийн шинэ судалгаа зэргийг агуулж байдаг. </w:t>
      </w:r>
    </w:p>
    <w:p w:rsidR="00A22251" w:rsidRPr="00A22251" w:rsidRDefault="00A22251" w:rsidP="00A96893">
      <w:pPr>
        <w:spacing w:line="360" w:lineRule="auto"/>
        <w:jc w:val="both"/>
        <w:rPr>
          <w:rFonts w:ascii="Times New Roman" w:hAnsi="Times New Roman" w:cs="Times New Roman"/>
          <w:sz w:val="24"/>
          <w:szCs w:val="24"/>
          <w:lang w:val="mn-MN"/>
        </w:rPr>
      </w:pPr>
      <w:r w:rsidRPr="00A22251">
        <w:rPr>
          <w:rFonts w:ascii="Times New Roman" w:hAnsi="Times New Roman" w:cs="Times New Roman"/>
          <w:sz w:val="24"/>
          <w:szCs w:val="24"/>
          <w:lang w:val="mn-MN"/>
        </w:rPr>
        <w:t>Хамгийн сайн мэргэжил дээшлүүлэх гэдэг нь байнгын туршилт хийх, оюутнуудтай хамтран ажиллаж, тэдний соёлыг ойлгоход оршино.</w:t>
      </w:r>
    </w:p>
    <w:p w:rsidR="00A22251" w:rsidRPr="00A22251" w:rsidRDefault="00A22251" w:rsidP="00A96893">
      <w:pPr>
        <w:spacing w:line="360" w:lineRule="auto"/>
        <w:jc w:val="both"/>
        <w:rPr>
          <w:rFonts w:ascii="Times New Roman" w:hAnsi="Times New Roman" w:cs="Times New Roman"/>
          <w:sz w:val="24"/>
          <w:szCs w:val="24"/>
          <w:lang w:val="mn-MN"/>
        </w:rPr>
      </w:pPr>
      <w:r w:rsidRPr="00A22251">
        <w:rPr>
          <w:rFonts w:ascii="Times New Roman" w:hAnsi="Times New Roman" w:cs="Times New Roman"/>
          <w:sz w:val="24"/>
          <w:szCs w:val="24"/>
          <w:lang w:val="mn-MN"/>
        </w:rPr>
        <w:t>Багш сурган хүмүүжүүлэгчид мэргэжлийн хөгжлийн үйл явц, сурч боловсрох гэдэг нь яг юу гэсэн ухагдахуун болохыг ойлгох ёстой.</w:t>
      </w:r>
    </w:p>
    <w:p w:rsidR="00A22251" w:rsidRPr="00A22251" w:rsidRDefault="00A22251" w:rsidP="00A96893">
      <w:pPr>
        <w:spacing w:line="360" w:lineRule="auto"/>
        <w:jc w:val="both"/>
        <w:rPr>
          <w:rFonts w:ascii="Times New Roman" w:hAnsi="Times New Roman" w:cs="Times New Roman"/>
          <w:sz w:val="24"/>
          <w:szCs w:val="24"/>
          <w:lang w:val="mn-MN"/>
        </w:rPr>
      </w:pPr>
      <w:r w:rsidRPr="00A22251">
        <w:rPr>
          <w:rFonts w:ascii="Times New Roman" w:hAnsi="Times New Roman" w:cs="Times New Roman"/>
          <w:sz w:val="24"/>
          <w:szCs w:val="24"/>
          <w:lang w:val="mn-MN"/>
        </w:rPr>
        <w:t>Үндэсний ажилчдын хөгжлийн зөвлөл (2007) -өөс бүх мэргэжил дээшлүүлэхэд дагах ёстой есөн багц стандарт бий болгосон байна. Үүнд: агуулгын мэдлэг, чанартай заах, эрдэм шинжилгээ-үндэслэл, хамтын ажиллагаа, олон янзын сургалтын хэрэгцээ, оюутны сургалтын орчин, гэр бүлийн оролцоо, үнэлгээ, мэдээлэлд тулгуурласан загвар, багш нарын сургалт орно.</w:t>
      </w:r>
    </w:p>
    <w:p w:rsidR="00A22251" w:rsidRPr="00A22251" w:rsidRDefault="00A22251" w:rsidP="00A96893">
      <w:pPr>
        <w:spacing w:line="360" w:lineRule="auto"/>
        <w:jc w:val="both"/>
        <w:rPr>
          <w:rFonts w:ascii="Times New Roman" w:hAnsi="Times New Roman" w:cs="Times New Roman"/>
          <w:sz w:val="24"/>
          <w:szCs w:val="24"/>
          <w:lang w:val="mn-MN"/>
        </w:rPr>
      </w:pPr>
      <w:r w:rsidRPr="00A22251">
        <w:rPr>
          <w:rFonts w:ascii="Times New Roman" w:hAnsi="Times New Roman" w:cs="Times New Roman"/>
          <w:sz w:val="24"/>
          <w:szCs w:val="24"/>
          <w:lang w:val="mn-MN"/>
        </w:rPr>
        <w:t xml:space="preserve">Гэсэн хэдий ч, энэ нь боловсролын системийг бүхэлд нь энэ загвараар тодорхойлох, хариуцлага тооцох эсэх аль аль нь биш юм. </w:t>
      </w:r>
    </w:p>
    <w:p w:rsidR="00A22251" w:rsidRPr="00A22251" w:rsidRDefault="00A22251" w:rsidP="00A96893">
      <w:pPr>
        <w:spacing w:line="360" w:lineRule="auto"/>
        <w:jc w:val="both"/>
        <w:rPr>
          <w:rFonts w:ascii="Times New Roman" w:hAnsi="Times New Roman" w:cs="Times New Roman"/>
          <w:sz w:val="24"/>
          <w:szCs w:val="24"/>
          <w:lang w:val="mn-MN"/>
        </w:rPr>
      </w:pPr>
      <w:r w:rsidRPr="00A22251">
        <w:rPr>
          <w:rFonts w:ascii="Times New Roman" w:hAnsi="Times New Roman" w:cs="Times New Roman"/>
          <w:sz w:val="24"/>
          <w:szCs w:val="24"/>
          <w:lang w:val="mn-MN"/>
        </w:rPr>
        <w:t xml:space="preserve">Мэргэжлийн хөгжилд тухайн хүний мэргэжлийн хөгжил,  түүний мэргэжлийн үүрэг хамаарна. </w:t>
      </w:r>
    </w:p>
    <w:p w:rsidR="00A22251" w:rsidRPr="00A22251" w:rsidRDefault="00A22251" w:rsidP="00A96893">
      <w:pPr>
        <w:spacing w:line="360" w:lineRule="auto"/>
        <w:jc w:val="both"/>
        <w:rPr>
          <w:rFonts w:ascii="Times New Roman" w:hAnsi="Times New Roman" w:cs="Times New Roman"/>
          <w:sz w:val="24"/>
          <w:szCs w:val="24"/>
          <w:lang w:val="mn-MN"/>
        </w:rPr>
      </w:pPr>
      <w:r w:rsidRPr="00A22251">
        <w:rPr>
          <w:rFonts w:ascii="Times New Roman" w:hAnsi="Times New Roman" w:cs="Times New Roman"/>
          <w:sz w:val="24"/>
          <w:szCs w:val="24"/>
          <w:lang w:val="mn-MN"/>
        </w:rPr>
        <w:t xml:space="preserve">Glattenhorn (1987) багшийн багшлах ур чадвар нь мэргэжлийн туршлага хуримтлуулан системтэйгээр нэмэгддэг гэж үзсэн. </w:t>
      </w:r>
    </w:p>
    <w:p w:rsidR="00A22251" w:rsidRPr="00A22251" w:rsidRDefault="00A22251" w:rsidP="00A96893">
      <w:pPr>
        <w:spacing w:line="360" w:lineRule="auto"/>
        <w:jc w:val="both"/>
        <w:rPr>
          <w:rFonts w:ascii="Times New Roman" w:hAnsi="Times New Roman" w:cs="Times New Roman"/>
          <w:sz w:val="24"/>
          <w:szCs w:val="24"/>
          <w:lang w:val="mn-MN"/>
        </w:rPr>
      </w:pPr>
      <w:r w:rsidRPr="00A22251">
        <w:rPr>
          <w:rFonts w:ascii="Times New Roman" w:hAnsi="Times New Roman" w:cs="Times New Roman"/>
          <w:sz w:val="24"/>
          <w:szCs w:val="24"/>
          <w:lang w:val="mn-MN"/>
        </w:rPr>
        <w:t xml:space="preserve">Мэргэжлийн сургалт семинар усад албан ёсоор холбогдох уулзалт нь мэргэжил дээшлүүлэх туршлагын нэг хэсэг ( Ganzer , 2000) юм. </w:t>
      </w:r>
    </w:p>
    <w:p w:rsidR="00A22251" w:rsidRPr="00A22251" w:rsidRDefault="00A22251" w:rsidP="00A96893">
      <w:pPr>
        <w:spacing w:line="360" w:lineRule="auto"/>
        <w:jc w:val="both"/>
        <w:rPr>
          <w:rFonts w:ascii="Times New Roman" w:hAnsi="Times New Roman" w:cs="Times New Roman"/>
          <w:sz w:val="24"/>
          <w:szCs w:val="24"/>
          <w:lang w:val="mn-MN"/>
        </w:rPr>
      </w:pPr>
      <w:r w:rsidRPr="00A22251">
        <w:rPr>
          <w:rFonts w:ascii="Times New Roman" w:hAnsi="Times New Roman" w:cs="Times New Roman"/>
          <w:sz w:val="24"/>
          <w:szCs w:val="24"/>
          <w:lang w:val="mn-MN"/>
        </w:rPr>
        <w:t xml:space="preserve">Өнгөрсөн 15 жилийн хугацаанд шинэчлэлийн стандартад суурилсан хөдөлгөөн гарч байна . Энэ шинэчлэлийн ажлын гол бүрэлдэхүүн хэсэг нь үр дүнтэй мэргэжлийн хөгжлийн </w:t>
      </w:r>
      <w:r w:rsidRPr="00A22251">
        <w:rPr>
          <w:rFonts w:ascii="Times New Roman" w:hAnsi="Times New Roman" w:cs="Times New Roman"/>
          <w:sz w:val="24"/>
          <w:szCs w:val="24"/>
          <w:lang w:val="mn-MN"/>
        </w:rPr>
        <w:lastRenderedPageBreak/>
        <w:t>өөрчлөх болон өөрчлөн байгуулах, сургуулийн чанарыг дахин зохион байгуулах мэдлэгийн баазыг бий болгох юм.</w:t>
      </w:r>
    </w:p>
    <w:p w:rsidR="00A22251" w:rsidRPr="00A22251" w:rsidRDefault="00A22251" w:rsidP="00A96893">
      <w:pPr>
        <w:spacing w:line="360" w:lineRule="auto"/>
        <w:jc w:val="both"/>
        <w:rPr>
          <w:rFonts w:ascii="Times New Roman" w:hAnsi="Times New Roman" w:cs="Times New Roman"/>
          <w:sz w:val="24"/>
          <w:szCs w:val="24"/>
          <w:lang w:val="mn-MN"/>
        </w:rPr>
      </w:pPr>
      <w:r w:rsidRPr="00A22251">
        <w:rPr>
          <w:rFonts w:ascii="Times New Roman" w:hAnsi="Times New Roman" w:cs="Times New Roman"/>
          <w:sz w:val="24"/>
          <w:szCs w:val="24"/>
          <w:lang w:val="mn-MN"/>
        </w:rPr>
        <w:t>Мэргэжлийн хөгжлийн судалгааны ихэнх нь оюутны ололт амжилтын харилцаатай холбоотой байдаг. Судлаачдын зэрэглэл энэхүү харилцааны түвшин дээр ялгаатай байдаг. Ялгаа нь гэвэл багш, оюутны суралцах түвшин анги танхим, эцэг эх, олон нийтийн оролцоо, сургалтын стратеги, танхимын удирдлага, сургалтын хөтөлбөр боловсруулах, оюутны суурь мэдлэг, оюутны урам зоригтой холбоотой юм. Хэд хэдэн судалгаанд үндэслэн  Marzano багш нарын туршлагатай, мэргэжлийн хөгжлийн үйл ажиллагаа тухайн сургуулийн сурагчдын сурлагын амжилт харилцан ижил нөлөө үзүүлдэг гэж дүгнэсэн.</w:t>
      </w:r>
    </w:p>
    <w:p w:rsidR="00A22251" w:rsidRPr="00A22251" w:rsidRDefault="00A22251" w:rsidP="00A96893">
      <w:pPr>
        <w:spacing w:line="360" w:lineRule="auto"/>
        <w:jc w:val="both"/>
        <w:rPr>
          <w:rFonts w:ascii="Times New Roman" w:hAnsi="Times New Roman" w:cs="Times New Roman"/>
          <w:sz w:val="24"/>
          <w:szCs w:val="24"/>
          <w:lang w:val="mn-MN"/>
        </w:rPr>
      </w:pPr>
      <w:r w:rsidRPr="00A22251">
        <w:rPr>
          <w:rFonts w:ascii="Times New Roman" w:hAnsi="Times New Roman" w:cs="Times New Roman"/>
          <w:sz w:val="24"/>
          <w:szCs w:val="24"/>
          <w:lang w:val="mn-MN"/>
        </w:rPr>
        <w:t xml:space="preserve">Идэвхтэй суралцах, агуулгын мэдлэг, ажилчдын хөгжлийн ерөнхий уялдаа холбоо нь мэргэжлийн хөгжлийн дээд гурван шинж чанар юм. </w:t>
      </w:r>
    </w:p>
    <w:p w:rsidR="00A22251" w:rsidRDefault="00A22251" w:rsidP="00A96893">
      <w:pPr>
        <w:spacing w:line="360" w:lineRule="auto"/>
        <w:jc w:val="both"/>
        <w:rPr>
          <w:rFonts w:ascii="Times New Roman" w:hAnsi="Times New Roman" w:cs="Times New Roman"/>
          <w:sz w:val="24"/>
          <w:szCs w:val="24"/>
          <w:lang w:val="mn-MN"/>
        </w:rPr>
      </w:pPr>
      <w:r w:rsidRPr="00A22251">
        <w:rPr>
          <w:rFonts w:ascii="Times New Roman" w:hAnsi="Times New Roman" w:cs="Times New Roman"/>
          <w:sz w:val="24"/>
          <w:szCs w:val="24"/>
          <w:lang w:val="mn-MN"/>
        </w:rPr>
        <w:t>Ричардсон тэдгээр програм оновчтой байж болно гэсэн үр дүнтэй мэргэжил дээшлүүлэх холбоотой шинж чанарын жагсаалтыг нийтэлжээ.</w:t>
      </w:r>
    </w:p>
    <w:p w:rsidR="00A22251" w:rsidRDefault="00A22251" w:rsidP="00A96893">
      <w:pPr>
        <w:spacing w:line="360" w:lineRule="auto"/>
        <w:jc w:val="both"/>
        <w:rPr>
          <w:rFonts w:ascii="Times New Roman" w:hAnsi="Times New Roman" w:cs="Times New Roman"/>
          <w:sz w:val="24"/>
          <w:szCs w:val="24"/>
          <w:lang w:val="mn-MN"/>
        </w:rPr>
      </w:pPr>
    </w:p>
    <w:p w:rsidR="00A22251" w:rsidRPr="00A22251" w:rsidRDefault="00A22251" w:rsidP="00A96893">
      <w:pPr>
        <w:spacing w:line="360" w:lineRule="auto"/>
        <w:jc w:val="both"/>
        <w:rPr>
          <w:rFonts w:ascii="Times New Roman" w:hAnsi="Times New Roman" w:cs="Times New Roman"/>
          <w:sz w:val="24"/>
          <w:szCs w:val="24"/>
          <w:lang w:val="mn-MN"/>
        </w:rPr>
      </w:pPr>
      <w:r w:rsidRPr="00A22251">
        <w:rPr>
          <w:rFonts w:ascii="Times New Roman" w:hAnsi="Times New Roman" w:cs="Times New Roman"/>
          <w:sz w:val="24"/>
          <w:szCs w:val="24"/>
          <w:lang w:val="mn-MN"/>
        </w:rPr>
        <w:t>References</w:t>
      </w:r>
    </w:p>
    <w:p w:rsidR="00A22251" w:rsidRPr="00A22251" w:rsidRDefault="00A22251" w:rsidP="00A96893">
      <w:pPr>
        <w:spacing w:line="360" w:lineRule="auto"/>
        <w:jc w:val="both"/>
        <w:rPr>
          <w:rFonts w:ascii="Times New Roman" w:hAnsi="Times New Roman" w:cs="Times New Roman"/>
          <w:sz w:val="24"/>
          <w:szCs w:val="24"/>
          <w:lang w:val="mn-MN"/>
        </w:rPr>
      </w:pPr>
      <w:r w:rsidRPr="00A22251">
        <w:rPr>
          <w:rFonts w:ascii="Times New Roman" w:hAnsi="Times New Roman" w:cs="Times New Roman"/>
          <w:sz w:val="24"/>
          <w:szCs w:val="24"/>
          <w:lang w:val="mn-MN"/>
        </w:rPr>
        <w:t>1.</w:t>
      </w:r>
      <w:r w:rsidRPr="00A22251">
        <w:rPr>
          <w:rFonts w:ascii="Times New Roman" w:hAnsi="Times New Roman" w:cs="Times New Roman"/>
          <w:sz w:val="24"/>
          <w:szCs w:val="24"/>
          <w:lang w:val="mn-MN"/>
        </w:rPr>
        <w:tab/>
        <w:t>Brookfield, S. (2005). Power of critical theory for adult learning and teaching. Berkdire, Great Britain: McGraw-Hill Education.</w:t>
      </w:r>
    </w:p>
    <w:p w:rsidR="00A22251" w:rsidRPr="00A22251" w:rsidRDefault="00A22251" w:rsidP="00A96893">
      <w:pPr>
        <w:spacing w:line="360" w:lineRule="auto"/>
        <w:jc w:val="both"/>
        <w:rPr>
          <w:rFonts w:ascii="Times New Roman" w:hAnsi="Times New Roman" w:cs="Times New Roman"/>
          <w:sz w:val="24"/>
          <w:szCs w:val="24"/>
          <w:lang w:val="mn-MN"/>
        </w:rPr>
      </w:pPr>
      <w:r w:rsidRPr="00A22251">
        <w:rPr>
          <w:rFonts w:ascii="Times New Roman" w:hAnsi="Times New Roman" w:cs="Times New Roman"/>
          <w:sz w:val="24"/>
          <w:szCs w:val="24"/>
          <w:lang w:val="mn-MN"/>
        </w:rPr>
        <w:t>2.</w:t>
      </w:r>
      <w:r w:rsidRPr="00A22251">
        <w:rPr>
          <w:rFonts w:ascii="Times New Roman" w:hAnsi="Times New Roman" w:cs="Times New Roman"/>
          <w:sz w:val="24"/>
          <w:szCs w:val="24"/>
          <w:lang w:val="mn-MN"/>
        </w:rPr>
        <w:tab/>
        <w:t>Champion, R. (2003). Taking measure: The real measure of professional development program’s effectiveness lies in what participants learned. Journal of Staff Development, 24(1), 1–5.</w:t>
      </w:r>
    </w:p>
    <w:p w:rsidR="00A22251" w:rsidRPr="00A22251" w:rsidRDefault="00A22251" w:rsidP="00A96893">
      <w:pPr>
        <w:spacing w:line="360" w:lineRule="auto"/>
        <w:jc w:val="both"/>
        <w:rPr>
          <w:rFonts w:ascii="Times New Roman" w:hAnsi="Times New Roman" w:cs="Times New Roman"/>
          <w:sz w:val="24"/>
          <w:szCs w:val="24"/>
          <w:lang w:val="mn-MN"/>
        </w:rPr>
      </w:pPr>
      <w:r w:rsidRPr="00A22251">
        <w:rPr>
          <w:rFonts w:ascii="Times New Roman" w:hAnsi="Times New Roman" w:cs="Times New Roman"/>
          <w:sz w:val="24"/>
          <w:szCs w:val="24"/>
          <w:lang w:val="mn-MN"/>
        </w:rPr>
        <w:t>3.</w:t>
      </w:r>
      <w:r w:rsidRPr="00A22251">
        <w:rPr>
          <w:rFonts w:ascii="Times New Roman" w:hAnsi="Times New Roman" w:cs="Times New Roman"/>
          <w:sz w:val="24"/>
          <w:szCs w:val="24"/>
          <w:lang w:val="mn-MN"/>
        </w:rPr>
        <w:tab/>
        <w:t>Cochran-Smith, M., &amp; Lytle, S. L. (2001). Beyond certainty: Taking an inquiry stance on practice. In A. Lieberman &amp; L. Miller (Eds.), Teachers caught in the action: Professional development that matters (pp. 45–61). New York, NY: Teachers College Press.</w:t>
      </w:r>
    </w:p>
    <w:p w:rsidR="00A22251" w:rsidRPr="00A22251" w:rsidRDefault="00A22251" w:rsidP="00A96893">
      <w:pPr>
        <w:spacing w:line="360" w:lineRule="auto"/>
        <w:jc w:val="both"/>
        <w:rPr>
          <w:rFonts w:ascii="Times New Roman" w:hAnsi="Times New Roman" w:cs="Times New Roman"/>
          <w:sz w:val="24"/>
          <w:szCs w:val="24"/>
          <w:lang w:val="mn-MN"/>
        </w:rPr>
      </w:pPr>
      <w:r w:rsidRPr="00A22251">
        <w:rPr>
          <w:rFonts w:ascii="Times New Roman" w:hAnsi="Times New Roman" w:cs="Times New Roman"/>
          <w:sz w:val="24"/>
          <w:szCs w:val="24"/>
          <w:lang w:val="mn-MN"/>
        </w:rPr>
        <w:t>4.</w:t>
      </w:r>
      <w:r w:rsidRPr="00A22251">
        <w:rPr>
          <w:rFonts w:ascii="Times New Roman" w:hAnsi="Times New Roman" w:cs="Times New Roman"/>
          <w:sz w:val="24"/>
          <w:szCs w:val="24"/>
          <w:lang w:val="mn-MN"/>
        </w:rPr>
        <w:tab/>
        <w:t>Elmore, R. (2002). Bridging the gap between standards and achievement: The imperative for professional development education [Brochure]. Washington, DC: Albert Shanker Institute.</w:t>
      </w:r>
    </w:p>
    <w:p w:rsidR="00A22251" w:rsidRPr="00A22251" w:rsidRDefault="00A22251" w:rsidP="00A96893">
      <w:pPr>
        <w:spacing w:line="360" w:lineRule="auto"/>
        <w:jc w:val="both"/>
        <w:rPr>
          <w:rFonts w:ascii="Times New Roman" w:hAnsi="Times New Roman" w:cs="Times New Roman"/>
          <w:sz w:val="24"/>
          <w:szCs w:val="24"/>
          <w:lang w:val="mn-MN"/>
        </w:rPr>
      </w:pPr>
      <w:r w:rsidRPr="00A22251">
        <w:rPr>
          <w:rFonts w:ascii="Times New Roman" w:hAnsi="Times New Roman" w:cs="Times New Roman"/>
          <w:sz w:val="24"/>
          <w:szCs w:val="24"/>
          <w:lang w:val="mn-MN"/>
        </w:rPr>
        <w:lastRenderedPageBreak/>
        <w:t>5.</w:t>
      </w:r>
      <w:r w:rsidRPr="00A22251">
        <w:rPr>
          <w:rFonts w:ascii="Times New Roman" w:hAnsi="Times New Roman" w:cs="Times New Roman"/>
          <w:sz w:val="24"/>
          <w:szCs w:val="24"/>
          <w:lang w:val="mn-MN"/>
        </w:rPr>
        <w:tab/>
        <w:t>Ganzer, T. (Ed.) (2000). Ambitious visions of professional development for teachers [Special Issue]. National Association for Secondary School Principals, (84)618</w:t>
      </w:r>
    </w:p>
    <w:p w:rsidR="00A22251" w:rsidRPr="00A22251" w:rsidRDefault="00A22251" w:rsidP="00A96893">
      <w:pPr>
        <w:spacing w:line="360" w:lineRule="auto"/>
        <w:jc w:val="both"/>
        <w:rPr>
          <w:rFonts w:ascii="Times New Roman" w:hAnsi="Times New Roman" w:cs="Times New Roman"/>
          <w:sz w:val="24"/>
          <w:szCs w:val="24"/>
          <w:lang w:val="mn-MN"/>
        </w:rPr>
      </w:pPr>
      <w:r w:rsidRPr="00A22251">
        <w:rPr>
          <w:rFonts w:ascii="Times New Roman" w:hAnsi="Times New Roman" w:cs="Times New Roman"/>
          <w:sz w:val="24"/>
          <w:szCs w:val="24"/>
          <w:lang w:val="mn-MN"/>
        </w:rPr>
        <w:t>6.</w:t>
      </w:r>
      <w:r w:rsidRPr="00A22251">
        <w:rPr>
          <w:rFonts w:ascii="Times New Roman" w:hAnsi="Times New Roman" w:cs="Times New Roman"/>
          <w:sz w:val="24"/>
          <w:szCs w:val="24"/>
          <w:lang w:val="mn-MN"/>
        </w:rPr>
        <w:tab/>
        <w:t>Glattenhorn, A. (1987). Cooperative professional development: Peer centered options for teacher growth. Educational Leadership, (3)45, 31-35.</w:t>
      </w:r>
    </w:p>
    <w:p w:rsidR="00A22251" w:rsidRPr="00A22251" w:rsidRDefault="00A22251" w:rsidP="00A96893">
      <w:pPr>
        <w:spacing w:line="360" w:lineRule="auto"/>
        <w:jc w:val="both"/>
        <w:rPr>
          <w:rFonts w:ascii="Times New Roman" w:hAnsi="Times New Roman" w:cs="Times New Roman"/>
          <w:sz w:val="24"/>
          <w:szCs w:val="24"/>
          <w:lang w:val="mn-MN"/>
        </w:rPr>
      </w:pPr>
      <w:r w:rsidRPr="00A22251">
        <w:rPr>
          <w:rFonts w:ascii="Times New Roman" w:hAnsi="Times New Roman" w:cs="Times New Roman"/>
          <w:sz w:val="24"/>
          <w:szCs w:val="24"/>
          <w:lang w:val="mn-MN"/>
        </w:rPr>
        <w:t>7.</w:t>
      </w:r>
      <w:r w:rsidRPr="00A22251">
        <w:rPr>
          <w:rFonts w:ascii="Times New Roman" w:hAnsi="Times New Roman" w:cs="Times New Roman"/>
          <w:sz w:val="24"/>
          <w:szCs w:val="24"/>
          <w:lang w:val="mn-MN"/>
        </w:rPr>
        <w:tab/>
        <w:t>Guskey, T. R. (1995). Professional development in action: New paradigms and practices. (T. R. Guskey &amp; M. Huberman, Eds.) New York: Teachers College Press.</w:t>
      </w:r>
    </w:p>
    <w:p w:rsidR="00A22251" w:rsidRPr="00A22251" w:rsidRDefault="00A22251" w:rsidP="00A96893">
      <w:pPr>
        <w:spacing w:line="360" w:lineRule="auto"/>
        <w:jc w:val="both"/>
        <w:rPr>
          <w:rFonts w:ascii="Times New Roman" w:hAnsi="Times New Roman" w:cs="Times New Roman"/>
          <w:sz w:val="24"/>
          <w:szCs w:val="24"/>
          <w:lang w:val="mn-MN"/>
        </w:rPr>
      </w:pPr>
      <w:r w:rsidRPr="00A22251">
        <w:rPr>
          <w:rFonts w:ascii="Times New Roman" w:hAnsi="Times New Roman" w:cs="Times New Roman"/>
          <w:sz w:val="24"/>
          <w:szCs w:val="24"/>
          <w:lang w:val="mn-MN"/>
        </w:rPr>
        <w:t>8.</w:t>
      </w:r>
      <w:r w:rsidRPr="00A22251">
        <w:rPr>
          <w:rFonts w:ascii="Times New Roman" w:hAnsi="Times New Roman" w:cs="Times New Roman"/>
          <w:sz w:val="24"/>
          <w:szCs w:val="24"/>
          <w:lang w:val="mn-MN"/>
        </w:rPr>
        <w:tab/>
        <w:t>Guskey, T. R. (2000). Evaluating professional development. Thousand Oaks, CA: Corwin Press.</w:t>
      </w:r>
    </w:p>
    <w:p w:rsidR="00A22251" w:rsidRPr="00A22251" w:rsidRDefault="00A22251" w:rsidP="00A96893">
      <w:pPr>
        <w:spacing w:line="360" w:lineRule="auto"/>
        <w:jc w:val="both"/>
        <w:rPr>
          <w:rFonts w:ascii="Times New Roman" w:hAnsi="Times New Roman" w:cs="Times New Roman"/>
          <w:sz w:val="24"/>
          <w:szCs w:val="24"/>
          <w:lang w:val="mn-MN"/>
        </w:rPr>
      </w:pPr>
      <w:r w:rsidRPr="00A22251">
        <w:rPr>
          <w:rFonts w:ascii="Times New Roman" w:hAnsi="Times New Roman" w:cs="Times New Roman"/>
          <w:sz w:val="24"/>
          <w:szCs w:val="24"/>
          <w:lang w:val="mn-MN"/>
        </w:rPr>
        <w:t>9.</w:t>
      </w:r>
      <w:r w:rsidRPr="00A22251">
        <w:rPr>
          <w:rFonts w:ascii="Times New Roman" w:hAnsi="Times New Roman" w:cs="Times New Roman"/>
          <w:sz w:val="24"/>
          <w:szCs w:val="24"/>
          <w:lang w:val="mn-MN"/>
        </w:rPr>
        <w:tab/>
        <w:t>Hord, S. M. (Ed.). (2004). Learning together leading together: Changing schools through professional learning communities. New York, NY: Teachers College Press.</w:t>
      </w:r>
    </w:p>
    <w:p w:rsidR="00A22251" w:rsidRPr="00A22251" w:rsidRDefault="00A22251" w:rsidP="00A96893">
      <w:pPr>
        <w:spacing w:line="360" w:lineRule="auto"/>
        <w:jc w:val="both"/>
        <w:rPr>
          <w:rFonts w:ascii="Times New Roman" w:hAnsi="Times New Roman" w:cs="Times New Roman"/>
          <w:sz w:val="24"/>
          <w:szCs w:val="24"/>
          <w:lang w:val="mn-MN"/>
        </w:rPr>
      </w:pPr>
      <w:r w:rsidRPr="00A22251">
        <w:rPr>
          <w:rFonts w:ascii="Times New Roman" w:hAnsi="Times New Roman" w:cs="Times New Roman"/>
          <w:sz w:val="24"/>
          <w:szCs w:val="24"/>
          <w:lang w:val="mn-MN"/>
        </w:rPr>
        <w:t>10.</w:t>
      </w:r>
      <w:r w:rsidRPr="00A22251">
        <w:rPr>
          <w:rFonts w:ascii="Times New Roman" w:hAnsi="Times New Roman" w:cs="Times New Roman"/>
          <w:sz w:val="24"/>
          <w:szCs w:val="24"/>
          <w:lang w:val="mn-MN"/>
        </w:rPr>
        <w:tab/>
        <w:t>Kedzior, M., &amp; Fifield, S. (2004). Teacher professional development. Education Policy Brief, 15(21), 76–97.</w:t>
      </w:r>
    </w:p>
    <w:p w:rsidR="00A22251" w:rsidRPr="00A22251" w:rsidRDefault="00A22251" w:rsidP="00A96893">
      <w:pPr>
        <w:spacing w:line="360" w:lineRule="auto"/>
        <w:jc w:val="both"/>
        <w:rPr>
          <w:rFonts w:ascii="Times New Roman" w:hAnsi="Times New Roman" w:cs="Times New Roman"/>
          <w:sz w:val="24"/>
          <w:szCs w:val="24"/>
          <w:lang w:val="mn-MN"/>
        </w:rPr>
      </w:pPr>
      <w:r w:rsidRPr="00A22251">
        <w:rPr>
          <w:rFonts w:ascii="Times New Roman" w:hAnsi="Times New Roman" w:cs="Times New Roman"/>
          <w:sz w:val="24"/>
          <w:szCs w:val="24"/>
          <w:lang w:val="mn-MN"/>
        </w:rPr>
        <w:t>11.</w:t>
      </w:r>
      <w:r w:rsidRPr="00A22251">
        <w:rPr>
          <w:rFonts w:ascii="Times New Roman" w:hAnsi="Times New Roman" w:cs="Times New Roman"/>
          <w:sz w:val="24"/>
          <w:szCs w:val="24"/>
          <w:lang w:val="mn-MN"/>
        </w:rPr>
        <w:tab/>
        <w:t>Marzano, R. J. (2003). What works in school: Translating research into action. Alexandria,, VA: Association for Supervision and Curriculum Development.</w:t>
      </w:r>
    </w:p>
    <w:p w:rsidR="00A22251" w:rsidRPr="00A22251" w:rsidRDefault="00A22251" w:rsidP="00A96893">
      <w:pPr>
        <w:spacing w:line="360" w:lineRule="auto"/>
        <w:jc w:val="both"/>
        <w:rPr>
          <w:rFonts w:ascii="Times New Roman" w:hAnsi="Times New Roman" w:cs="Times New Roman"/>
          <w:sz w:val="24"/>
          <w:szCs w:val="24"/>
          <w:lang w:val="mn-MN"/>
        </w:rPr>
      </w:pPr>
      <w:r w:rsidRPr="00A22251">
        <w:rPr>
          <w:rFonts w:ascii="Times New Roman" w:hAnsi="Times New Roman" w:cs="Times New Roman"/>
          <w:sz w:val="24"/>
          <w:szCs w:val="24"/>
          <w:lang w:val="mn-MN"/>
        </w:rPr>
        <w:t>12.</w:t>
      </w:r>
      <w:r w:rsidRPr="00A22251">
        <w:rPr>
          <w:rFonts w:ascii="Times New Roman" w:hAnsi="Times New Roman" w:cs="Times New Roman"/>
          <w:sz w:val="24"/>
          <w:szCs w:val="24"/>
          <w:lang w:val="mn-MN"/>
        </w:rPr>
        <w:tab/>
        <w:t>Miles, K. H., Olden, A., Fermanich, M., &amp; Archibald, S. (2004). Inside the blackbox of school spending on professional development: Lessons from comparing five urban districts. Journal of Education and Finance 30(1) 1-26.</w:t>
      </w:r>
    </w:p>
    <w:p w:rsidR="00A22251" w:rsidRPr="00A22251" w:rsidRDefault="00A22251" w:rsidP="00A96893">
      <w:pPr>
        <w:spacing w:line="360" w:lineRule="auto"/>
        <w:jc w:val="both"/>
        <w:rPr>
          <w:rFonts w:ascii="Times New Roman" w:hAnsi="Times New Roman" w:cs="Times New Roman"/>
          <w:sz w:val="24"/>
          <w:szCs w:val="24"/>
          <w:lang w:val="mn-MN"/>
        </w:rPr>
      </w:pPr>
      <w:r w:rsidRPr="00A22251">
        <w:rPr>
          <w:rFonts w:ascii="Times New Roman" w:hAnsi="Times New Roman" w:cs="Times New Roman"/>
          <w:sz w:val="24"/>
          <w:szCs w:val="24"/>
          <w:lang w:val="mn-MN"/>
        </w:rPr>
        <w:t>13.</w:t>
      </w:r>
      <w:r w:rsidRPr="00A22251">
        <w:rPr>
          <w:rFonts w:ascii="Times New Roman" w:hAnsi="Times New Roman" w:cs="Times New Roman"/>
          <w:sz w:val="24"/>
          <w:szCs w:val="24"/>
          <w:lang w:val="mn-MN"/>
        </w:rPr>
        <w:tab/>
        <w:t>Richardson, V. (2003). The dilemmas of professional development. Phi Delta Kappan, 84(5), 401–406.</w:t>
      </w:r>
    </w:p>
    <w:p w:rsidR="00A22251" w:rsidRPr="00A22251" w:rsidRDefault="00A22251" w:rsidP="00A96893">
      <w:pPr>
        <w:spacing w:line="360" w:lineRule="auto"/>
        <w:jc w:val="both"/>
        <w:rPr>
          <w:rFonts w:ascii="Times New Roman" w:hAnsi="Times New Roman" w:cs="Times New Roman"/>
          <w:sz w:val="24"/>
          <w:szCs w:val="24"/>
          <w:lang w:val="mn-MN"/>
        </w:rPr>
      </w:pPr>
      <w:r w:rsidRPr="00A22251">
        <w:rPr>
          <w:rFonts w:ascii="Times New Roman" w:hAnsi="Times New Roman" w:cs="Times New Roman"/>
          <w:sz w:val="24"/>
          <w:szCs w:val="24"/>
          <w:lang w:val="mn-MN"/>
        </w:rPr>
        <w:t>14.</w:t>
      </w:r>
      <w:r w:rsidRPr="00A22251">
        <w:rPr>
          <w:rFonts w:ascii="Times New Roman" w:hAnsi="Times New Roman" w:cs="Times New Roman"/>
          <w:sz w:val="24"/>
          <w:szCs w:val="24"/>
          <w:lang w:val="mn-MN"/>
        </w:rPr>
        <w:tab/>
        <w:t>National Staff Development Council (2001). NSDC’s Standards for Staff Development. Oxford, OH. Author.</w:t>
      </w:r>
    </w:p>
    <w:p w:rsidR="00A22251" w:rsidRPr="00A22251" w:rsidRDefault="00A22251" w:rsidP="00A96893">
      <w:pPr>
        <w:spacing w:line="360" w:lineRule="auto"/>
        <w:jc w:val="both"/>
        <w:rPr>
          <w:rFonts w:ascii="Times New Roman" w:hAnsi="Times New Roman" w:cs="Times New Roman"/>
          <w:sz w:val="24"/>
          <w:szCs w:val="24"/>
          <w:lang w:val="mn-MN"/>
        </w:rPr>
      </w:pPr>
      <w:r w:rsidRPr="00A22251">
        <w:rPr>
          <w:rFonts w:ascii="Times New Roman" w:hAnsi="Times New Roman" w:cs="Times New Roman"/>
          <w:sz w:val="24"/>
          <w:szCs w:val="24"/>
          <w:lang w:val="mn-MN"/>
        </w:rPr>
        <w:t>15.</w:t>
      </w:r>
      <w:r w:rsidRPr="00A22251">
        <w:rPr>
          <w:rFonts w:ascii="Times New Roman" w:hAnsi="Times New Roman" w:cs="Times New Roman"/>
          <w:sz w:val="24"/>
          <w:szCs w:val="24"/>
          <w:lang w:val="mn-MN"/>
        </w:rPr>
        <w:tab/>
        <w:t>National Staff Development Council (2007). Professional development. Retrieved</w:t>
      </w:r>
    </w:p>
    <w:p w:rsidR="00A22251" w:rsidRPr="00A22251" w:rsidRDefault="00A22251" w:rsidP="00A96893">
      <w:pPr>
        <w:spacing w:line="360" w:lineRule="auto"/>
        <w:jc w:val="both"/>
        <w:rPr>
          <w:rFonts w:ascii="Times New Roman" w:hAnsi="Times New Roman" w:cs="Times New Roman"/>
          <w:sz w:val="24"/>
          <w:szCs w:val="24"/>
          <w:lang w:val="mn-MN"/>
        </w:rPr>
      </w:pPr>
      <w:r w:rsidRPr="00A22251">
        <w:rPr>
          <w:rFonts w:ascii="Times New Roman" w:hAnsi="Times New Roman" w:cs="Times New Roman"/>
          <w:sz w:val="24"/>
          <w:szCs w:val="24"/>
          <w:lang w:val="mn-MN"/>
        </w:rPr>
        <w:t>16.</w:t>
      </w:r>
      <w:r w:rsidRPr="00A22251">
        <w:rPr>
          <w:rFonts w:ascii="Times New Roman" w:hAnsi="Times New Roman" w:cs="Times New Roman"/>
          <w:sz w:val="24"/>
          <w:szCs w:val="24"/>
          <w:lang w:val="mn-MN"/>
        </w:rPr>
        <w:tab/>
        <w:t>March 15, 2009, from http://www.NSDC.org/connect/about/index.cfm.</w:t>
      </w:r>
    </w:p>
    <w:p w:rsidR="00A22251" w:rsidRPr="00A96893" w:rsidRDefault="00A22251" w:rsidP="00A96893">
      <w:pPr>
        <w:spacing w:line="360" w:lineRule="auto"/>
        <w:jc w:val="both"/>
        <w:rPr>
          <w:rFonts w:ascii="Times New Roman" w:hAnsi="Times New Roman" w:cs="Times New Roman"/>
          <w:sz w:val="24"/>
          <w:szCs w:val="24"/>
        </w:rPr>
      </w:pPr>
      <w:r w:rsidRPr="00A22251">
        <w:rPr>
          <w:rFonts w:ascii="Times New Roman" w:hAnsi="Times New Roman" w:cs="Times New Roman"/>
          <w:sz w:val="24"/>
          <w:szCs w:val="24"/>
          <w:lang w:val="mn-MN"/>
        </w:rPr>
        <w:t>17.</w:t>
      </w:r>
      <w:r w:rsidRPr="00A22251">
        <w:rPr>
          <w:rFonts w:ascii="Times New Roman" w:hAnsi="Times New Roman" w:cs="Times New Roman"/>
          <w:sz w:val="24"/>
          <w:szCs w:val="24"/>
          <w:lang w:val="mn-MN"/>
        </w:rPr>
        <w:tab/>
        <w:t>Walling, B., &amp; Lewis, M. (2000). Development of professional development pre-service teachers: Longitudinal and comparative analysis. Action Teacher Education, 22(2a), 63-67</w:t>
      </w:r>
      <w:bookmarkStart w:id="0" w:name="_GoBack"/>
      <w:bookmarkEnd w:id="0"/>
    </w:p>
    <w:sectPr w:rsidR="00A22251" w:rsidRPr="00A96893" w:rsidSect="00A9689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00123D8"/>
    <w:multiLevelType w:val="hybridMultilevel"/>
    <w:tmpl w:val="820C8A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862FD"/>
    <w:rsid w:val="00160D63"/>
    <w:rsid w:val="00237299"/>
    <w:rsid w:val="002B1098"/>
    <w:rsid w:val="00A22251"/>
    <w:rsid w:val="00A40339"/>
    <w:rsid w:val="00A96893"/>
    <w:rsid w:val="00B862FD"/>
    <w:rsid w:val="00BC6EE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0D6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729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7299"/>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1021</Words>
  <Characters>5823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Miigaa</cp:lastModifiedBy>
  <cp:revision>2</cp:revision>
  <dcterms:created xsi:type="dcterms:W3CDTF">2015-02-04T10:43:00Z</dcterms:created>
  <dcterms:modified xsi:type="dcterms:W3CDTF">2015-02-04T10:43:00Z</dcterms:modified>
</cp:coreProperties>
</file>